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6"/>
        <w:tblpPr w:leftFromText="180" w:rightFromText="180" w:vertAnchor="text" w:horzAnchor="page" w:tblpX="1979" w:tblpY="129"/>
        <w:tblOverlap w:val="never"/>
        <w:tblW w:w="816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4"/>
        <w:gridCol w:w="1134"/>
        <w:gridCol w:w="5801"/>
        <w:gridCol w:w="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644" w:type="dxa"/>
            <w:noWrap w:val="0"/>
            <w:vAlign w:val="center"/>
          </w:tcPr>
          <w:p>
            <w:pPr>
              <w:jc w:val="center"/>
              <w:rPr>
                <w:rFonts w:hint="eastAsia" w:ascii="仿宋_GB2312" w:hAnsi="宋体" w:eastAsia="仿宋_GB2312" w:cs="仿宋"/>
                <w:b/>
                <w:szCs w:val="21"/>
              </w:rPr>
            </w:pPr>
            <w:r>
              <w:rPr>
                <w:rFonts w:hint="eastAsia" w:ascii="仿宋_GB2312" w:hAnsi="宋体" w:eastAsia="仿宋_GB2312" w:cs="仿宋"/>
                <w:b/>
                <w:szCs w:val="21"/>
              </w:rPr>
              <w:t>序号</w:t>
            </w:r>
          </w:p>
        </w:tc>
        <w:tc>
          <w:tcPr>
            <w:tcW w:w="1134" w:type="dxa"/>
            <w:noWrap w:val="0"/>
            <w:vAlign w:val="center"/>
          </w:tcPr>
          <w:p>
            <w:pPr>
              <w:jc w:val="center"/>
              <w:rPr>
                <w:rFonts w:hint="eastAsia" w:ascii="仿宋_GB2312" w:hAnsi="宋体" w:eastAsia="仿宋_GB2312" w:cs="仿宋"/>
                <w:b/>
                <w:szCs w:val="21"/>
              </w:rPr>
            </w:pPr>
            <w:r>
              <w:rPr>
                <w:rFonts w:hint="eastAsia" w:ascii="仿宋_GB2312" w:hAnsi="宋体" w:eastAsia="仿宋_GB2312" w:cs="仿宋"/>
                <w:b/>
                <w:szCs w:val="21"/>
              </w:rPr>
              <w:t>评分项目</w:t>
            </w:r>
          </w:p>
        </w:tc>
        <w:tc>
          <w:tcPr>
            <w:tcW w:w="5801" w:type="dxa"/>
            <w:noWrap w:val="0"/>
            <w:vAlign w:val="center"/>
          </w:tcPr>
          <w:p>
            <w:pPr>
              <w:jc w:val="center"/>
              <w:rPr>
                <w:rFonts w:hint="eastAsia" w:ascii="仿宋_GB2312" w:hAnsi="宋体" w:eastAsia="仿宋_GB2312" w:cs="仿宋"/>
                <w:b/>
                <w:szCs w:val="21"/>
              </w:rPr>
            </w:pPr>
            <w:r>
              <w:rPr>
                <w:rFonts w:hint="eastAsia" w:ascii="仿宋_GB2312" w:hAnsi="宋体" w:eastAsia="仿宋_GB2312" w:cs="仿宋"/>
                <w:b/>
                <w:szCs w:val="21"/>
              </w:rPr>
              <w:t>评分方法</w:t>
            </w:r>
          </w:p>
        </w:tc>
        <w:tc>
          <w:tcPr>
            <w:tcW w:w="582" w:type="dxa"/>
            <w:noWrap w:val="0"/>
            <w:vAlign w:val="center"/>
          </w:tcPr>
          <w:p>
            <w:pPr>
              <w:jc w:val="center"/>
              <w:rPr>
                <w:rFonts w:hint="eastAsia" w:ascii="仿宋_GB2312" w:hAnsi="宋体" w:eastAsia="仿宋_GB2312" w:cs="仿宋"/>
                <w:b/>
                <w:bCs w:val="0"/>
                <w:szCs w:val="21"/>
              </w:rPr>
            </w:pPr>
            <w:r>
              <w:rPr>
                <w:rFonts w:hint="eastAsia" w:ascii="仿宋_GB2312" w:hAnsi="宋体" w:eastAsia="仿宋_GB2312" w:cs="仿宋"/>
                <w:b/>
                <w:bCs w:val="0"/>
                <w:szCs w:val="21"/>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7" w:hRule="atLeast"/>
        </w:trPr>
        <w:tc>
          <w:tcPr>
            <w:tcW w:w="644" w:type="dxa"/>
            <w:noWrap w:val="0"/>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仿宋_GB2312" w:hAnsi="宋体" w:eastAsia="仿宋_GB2312" w:cs="仿宋"/>
                <w:b/>
                <w:bCs/>
                <w:szCs w:val="21"/>
              </w:rPr>
            </w:pPr>
            <w:r>
              <w:rPr>
                <w:rFonts w:hint="eastAsia" w:ascii="仿宋_GB2312" w:hAnsi="宋体" w:eastAsia="仿宋_GB2312" w:cs="仿宋"/>
                <w:b/>
                <w:bCs/>
                <w:szCs w:val="21"/>
              </w:rPr>
              <w:t>一</w:t>
            </w:r>
          </w:p>
        </w:tc>
        <w:tc>
          <w:tcPr>
            <w:tcW w:w="1134" w:type="dxa"/>
            <w:noWrap w:val="0"/>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仿宋_GB2312" w:hAnsi="宋体" w:eastAsia="仿宋_GB2312" w:cs="仿宋"/>
                <w:b/>
                <w:bCs/>
                <w:szCs w:val="21"/>
              </w:rPr>
            </w:pPr>
            <w:r>
              <w:rPr>
                <w:rFonts w:hint="eastAsia" w:ascii="仿宋_GB2312" w:hAnsi="宋体" w:eastAsia="仿宋_GB2312" w:cs="仿宋"/>
                <w:b/>
                <w:bCs/>
                <w:szCs w:val="21"/>
              </w:rPr>
              <w:t>报价</w:t>
            </w:r>
          </w:p>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仿宋_GB2312" w:hAnsi="宋体" w:eastAsia="仿宋_GB2312" w:cs="仿宋"/>
                <w:b/>
                <w:bCs/>
                <w:szCs w:val="21"/>
              </w:rPr>
            </w:pPr>
            <w:r>
              <w:rPr>
                <w:rFonts w:hint="eastAsia" w:ascii="仿宋_GB2312" w:hAnsi="宋体" w:eastAsia="仿宋_GB2312" w:cs="仿宋"/>
                <w:b/>
                <w:bCs/>
                <w:szCs w:val="21"/>
              </w:rPr>
              <w:t>（</w:t>
            </w:r>
            <w:r>
              <w:rPr>
                <w:rFonts w:hint="eastAsia" w:ascii="仿宋_GB2312" w:hAnsi="宋体" w:eastAsia="仿宋_GB2312" w:cs="仿宋"/>
                <w:b/>
                <w:bCs/>
                <w:szCs w:val="21"/>
                <w:lang w:val="en-US" w:eastAsia="zh-CN"/>
              </w:rPr>
              <w:t>2</w:t>
            </w:r>
            <w:r>
              <w:rPr>
                <w:rFonts w:hint="eastAsia" w:ascii="仿宋_GB2312" w:hAnsi="宋体" w:eastAsia="仿宋_GB2312" w:cs="仿宋"/>
                <w:b/>
                <w:bCs/>
                <w:szCs w:val="21"/>
              </w:rPr>
              <w:t>0分）</w:t>
            </w:r>
          </w:p>
        </w:tc>
        <w:tc>
          <w:tcPr>
            <w:tcW w:w="5801" w:type="dxa"/>
            <w:noWrap w:val="0"/>
            <w:vAlign w:val="top"/>
          </w:tcPr>
          <w:p>
            <w:pPr>
              <w:keepNext w:val="0"/>
              <w:keepLines w:val="0"/>
              <w:pageBreakBefore w:val="0"/>
              <w:widowControl w:val="0"/>
              <w:kinsoku/>
              <w:wordWrap/>
              <w:overflowPunct/>
              <w:topLinePunct w:val="0"/>
              <w:autoSpaceDE/>
              <w:autoSpaceDN/>
              <w:bidi w:val="0"/>
              <w:adjustRightInd/>
              <w:spacing w:before="78" w:beforeLines="25" w:after="78" w:afterLines="25" w:line="240" w:lineRule="auto"/>
              <w:ind w:firstLine="361" w:firstLineChars="200"/>
              <w:textAlignment w:val="auto"/>
              <w:rPr>
                <w:rFonts w:hint="eastAsia" w:ascii="仿宋_GB2312" w:hAnsi="宋体" w:eastAsia="仿宋_GB2312" w:cs="仿宋"/>
                <w:bCs/>
                <w:color w:val="auto"/>
                <w:sz w:val="18"/>
                <w:szCs w:val="18"/>
                <w:highlight w:val="none"/>
              </w:rPr>
            </w:pPr>
            <w:r>
              <w:rPr>
                <w:rFonts w:hint="eastAsia" w:ascii="仿宋_GB2312" w:hAnsi="宋体" w:eastAsia="仿宋_GB2312" w:cs="仿宋"/>
                <w:b/>
                <w:bCs/>
                <w:color w:val="auto"/>
                <w:sz w:val="18"/>
                <w:szCs w:val="18"/>
                <w:highlight w:val="none"/>
              </w:rPr>
              <w:t>综合评分法</w:t>
            </w:r>
            <w:r>
              <w:rPr>
                <w:rFonts w:hint="eastAsia" w:ascii="仿宋_GB2312" w:hAnsi="宋体" w:eastAsia="仿宋_GB2312" w:cs="仿宋"/>
                <w:bCs/>
                <w:color w:val="auto"/>
                <w:sz w:val="18"/>
                <w:szCs w:val="18"/>
                <w:highlight w:val="none"/>
              </w:rPr>
              <w:t>：去掉其中的一个最高价和一个最低价后取算术平均值为A。评标基准价 = A，偏离</w:t>
            </w:r>
            <w:r>
              <w:rPr>
                <w:rFonts w:hint="eastAsia" w:ascii="仿宋_GB2312" w:hAnsi="宋体" w:eastAsia="仿宋_GB2312" w:cs="仿宋"/>
                <w:bCs/>
                <w:color w:val="auto"/>
                <w:sz w:val="18"/>
                <w:szCs w:val="18"/>
                <w:highlight w:val="none"/>
                <w:lang w:val="en-US" w:eastAsia="zh-CN"/>
              </w:rPr>
              <w:t>A</w:t>
            </w:r>
            <w:r>
              <w:rPr>
                <w:rFonts w:hint="eastAsia" w:ascii="仿宋_GB2312" w:hAnsi="宋体" w:eastAsia="仿宋_GB2312" w:cs="仿宋"/>
                <w:bCs/>
                <w:color w:val="auto"/>
                <w:sz w:val="18"/>
                <w:szCs w:val="18"/>
                <w:highlight w:val="none"/>
              </w:rPr>
              <w:t>的每增加1%扣0.2分，每降低1%扣0.2分（扣完为止，不记负分），偏离不足1%的，按1%计算得分。</w:t>
            </w:r>
          </w:p>
        </w:tc>
        <w:tc>
          <w:tcPr>
            <w:tcW w:w="582" w:type="dxa"/>
            <w:noWrap w:val="0"/>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仿宋_GB2312" w:hAnsi="宋体" w:eastAsia="仿宋_GB2312" w:cs="仿宋"/>
                <w:b/>
                <w:bCs w:val="0"/>
                <w:szCs w:val="21"/>
              </w:rPr>
            </w:pPr>
            <w:r>
              <w:rPr>
                <w:rFonts w:hint="eastAsia" w:ascii="仿宋_GB2312" w:hAnsi="宋体" w:eastAsia="仿宋_GB2312" w:cs="仿宋"/>
                <w:b/>
                <w:bCs w:val="0"/>
                <w:szCs w:val="21"/>
                <w:lang w:val="en-US" w:eastAsia="zh-CN"/>
              </w:rPr>
              <w:t>2</w:t>
            </w:r>
            <w:r>
              <w:rPr>
                <w:rFonts w:hint="eastAsia" w:ascii="仿宋_GB2312" w:hAnsi="宋体" w:eastAsia="仿宋_GB2312" w:cs="仿宋"/>
                <w:b/>
                <w:bCs w:val="0"/>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1" w:hRule="atLeast"/>
        </w:trPr>
        <w:tc>
          <w:tcPr>
            <w:tcW w:w="644" w:type="dxa"/>
            <w:vMerge w:val="restart"/>
            <w:noWrap w:val="0"/>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仿宋_GB2312" w:hAnsi="宋体" w:eastAsia="仿宋_GB2312" w:cs="仿宋"/>
                <w:b/>
                <w:bCs/>
                <w:szCs w:val="21"/>
              </w:rPr>
            </w:pPr>
            <w:r>
              <w:rPr>
                <w:rFonts w:hint="eastAsia" w:ascii="仿宋_GB2312" w:hAnsi="宋体" w:eastAsia="仿宋_GB2312" w:cs="仿宋"/>
                <w:b/>
                <w:bCs/>
                <w:szCs w:val="21"/>
              </w:rPr>
              <w:t>二</w:t>
            </w:r>
          </w:p>
        </w:tc>
        <w:tc>
          <w:tcPr>
            <w:tcW w:w="1134" w:type="dxa"/>
            <w:vMerge w:val="restart"/>
            <w:noWrap w:val="0"/>
            <w:vAlign w:val="center"/>
          </w:tcPr>
          <w:p>
            <w:pPr>
              <w:keepNext w:val="0"/>
              <w:keepLines w:val="0"/>
              <w:pageBreakBefore w:val="0"/>
              <w:widowControl w:val="0"/>
              <w:kinsoku/>
              <w:wordWrap/>
              <w:overflowPunct/>
              <w:topLinePunct w:val="0"/>
              <w:autoSpaceDE/>
              <w:autoSpaceDN/>
              <w:bidi w:val="0"/>
              <w:adjustRightInd/>
              <w:spacing w:after="78" w:afterLines="25" w:line="240" w:lineRule="auto"/>
              <w:textAlignment w:val="auto"/>
              <w:rPr>
                <w:rFonts w:hint="default"/>
                <w:b/>
                <w:bCs/>
                <w:lang w:val="en-US" w:eastAsia="zh-CN"/>
              </w:rPr>
            </w:pPr>
            <w:r>
              <w:rPr>
                <w:rFonts w:hint="eastAsia"/>
                <w:b/>
                <w:bCs/>
                <w:lang w:val="en-US" w:eastAsia="zh-CN"/>
              </w:rPr>
              <w:t>技术要求</w:t>
            </w:r>
          </w:p>
          <w:p>
            <w:pPr>
              <w:keepNext w:val="0"/>
              <w:keepLines w:val="0"/>
              <w:pageBreakBefore w:val="0"/>
              <w:widowControl w:val="0"/>
              <w:kinsoku/>
              <w:wordWrap/>
              <w:overflowPunct/>
              <w:topLinePunct w:val="0"/>
              <w:autoSpaceDE/>
              <w:autoSpaceDN/>
              <w:bidi w:val="0"/>
              <w:adjustRightInd/>
              <w:spacing w:after="78" w:afterLines="25" w:line="240" w:lineRule="auto"/>
              <w:textAlignment w:val="auto"/>
              <w:rPr>
                <w:rFonts w:hint="eastAsia" w:ascii="宋体" w:hAnsi="宋体" w:eastAsia="宋体" w:cs="宋体"/>
                <w:sz w:val="18"/>
                <w:szCs w:val="21"/>
                <w:lang w:val="en-US" w:eastAsia="zh-CN"/>
              </w:rPr>
            </w:pPr>
            <w:r>
              <w:rPr>
                <w:rFonts w:hint="eastAsia"/>
                <w:b/>
                <w:bCs/>
                <w:lang w:val="en-US" w:eastAsia="zh-CN"/>
              </w:rPr>
              <w:t>（30分）</w:t>
            </w:r>
            <w:r>
              <w:rPr>
                <w:rFonts w:hint="eastAsia" w:ascii="宋体" w:hAnsi="宋体" w:eastAsia="宋体" w:cs="宋体"/>
                <w:sz w:val="18"/>
                <w:szCs w:val="21"/>
                <w:lang w:val="en-US" w:eastAsia="zh-CN"/>
              </w:rPr>
              <w:t>该项总分为30分，所涉及技术条款为必须项。有其中一项不符合，该项分数为0</w:t>
            </w:r>
            <w:r>
              <w:rPr>
                <w:rFonts w:hint="eastAsia" w:ascii="宋体" w:hAnsi="宋体" w:cs="宋体"/>
                <w:sz w:val="18"/>
                <w:szCs w:val="21"/>
                <w:lang w:val="en-US" w:eastAsia="zh-CN"/>
              </w:rPr>
              <w:t>。</w:t>
            </w:r>
          </w:p>
          <w:p>
            <w:pPr>
              <w:pStyle w:val="2"/>
              <w:rPr>
                <w:rFonts w:hint="eastAsia"/>
                <w:lang w:val="en-US" w:eastAsia="zh-CN"/>
              </w:rPr>
            </w:pPr>
          </w:p>
        </w:tc>
        <w:tc>
          <w:tcPr>
            <w:tcW w:w="5801" w:type="dxa"/>
            <w:noWrap w:val="0"/>
            <w:vAlign w:val="center"/>
          </w:tcPr>
          <w:p>
            <w:pPr>
              <w:keepNext w:val="0"/>
              <w:keepLines w:val="0"/>
              <w:pageBreakBefore w:val="0"/>
              <w:widowControl w:val="0"/>
              <w:kinsoku/>
              <w:wordWrap/>
              <w:overflowPunct/>
              <w:topLinePunct w:val="0"/>
              <w:autoSpaceDE/>
              <w:autoSpaceDN/>
              <w:bidi w:val="0"/>
              <w:adjustRightInd/>
              <w:spacing w:after="78" w:afterLines="25" w:line="240" w:lineRule="auto"/>
              <w:ind w:firstLine="361" w:firstLineChars="200"/>
              <w:textAlignment w:val="auto"/>
              <w:rPr>
                <w:rFonts w:hint="eastAsia" w:ascii="仿宋_GB2312" w:hAnsi="宋体" w:eastAsia="仿宋_GB2312" w:cs="仿宋"/>
                <w:b w:val="0"/>
                <w:bCs/>
                <w:color w:val="auto"/>
                <w:sz w:val="18"/>
                <w:szCs w:val="18"/>
                <w:highlight w:val="none"/>
                <w:lang w:val="en-US" w:eastAsia="zh-CN"/>
              </w:rPr>
            </w:pPr>
            <w:r>
              <w:rPr>
                <w:rFonts w:hint="eastAsia" w:ascii="仿宋_GB2312" w:hAnsi="宋体" w:eastAsia="仿宋_GB2312" w:cs="仿宋"/>
                <w:b/>
                <w:bCs w:val="0"/>
                <w:color w:val="auto"/>
                <w:sz w:val="18"/>
                <w:szCs w:val="18"/>
                <w:highlight w:val="none"/>
                <w:lang w:val="en-US" w:eastAsia="zh-CN"/>
              </w:rPr>
              <w:t>1.预防性试验技术要求：</w:t>
            </w:r>
            <w:r>
              <w:rPr>
                <w:rFonts w:hint="eastAsia" w:ascii="仿宋_GB2312" w:hAnsi="宋体" w:eastAsia="仿宋_GB2312" w:cs="仿宋"/>
                <w:b w:val="0"/>
                <w:bCs/>
                <w:color w:val="auto"/>
                <w:sz w:val="18"/>
                <w:szCs w:val="18"/>
                <w:highlight w:val="none"/>
                <w:lang w:val="en-US" w:eastAsia="zh-CN"/>
              </w:rPr>
              <w:t>1.高压中置柜2.高压环网柜3.干式变压器4.电力电缆5.直流屏6.低压柜。</w:t>
            </w:r>
          </w:p>
        </w:tc>
        <w:tc>
          <w:tcPr>
            <w:tcW w:w="582" w:type="dxa"/>
            <w:vMerge w:val="restart"/>
            <w:noWrap w:val="0"/>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default" w:ascii="仿宋_GB2312" w:hAnsi="宋体" w:eastAsia="仿宋_GB2312" w:cs="仿宋"/>
                <w:b/>
                <w:bCs w:val="0"/>
                <w:szCs w:val="21"/>
                <w:highlight w:val="yellow"/>
                <w:lang w:val="en-US" w:eastAsia="zh-CN"/>
              </w:rPr>
            </w:pPr>
            <w:r>
              <w:rPr>
                <w:rFonts w:hint="eastAsia" w:ascii="仿宋_GB2312" w:hAnsi="宋体" w:eastAsia="仿宋_GB2312" w:cs="仿宋"/>
                <w:b/>
                <w:bCs w:val="0"/>
                <w:szCs w:val="21"/>
                <w:highlight w:val="none"/>
                <w:lang w:val="en-US"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trPr>
        <w:tc>
          <w:tcPr>
            <w:tcW w:w="644" w:type="dxa"/>
            <w:vMerge w:val="continue"/>
            <w:noWrap w:val="0"/>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仿宋_GB2312" w:hAnsi="宋体" w:eastAsia="仿宋_GB2312" w:cs="仿宋"/>
                <w:b/>
                <w:bCs/>
                <w:szCs w:val="21"/>
              </w:rPr>
            </w:pPr>
          </w:p>
        </w:tc>
        <w:tc>
          <w:tcPr>
            <w:tcW w:w="1134" w:type="dxa"/>
            <w:vMerge w:val="continue"/>
            <w:noWrap w:val="0"/>
            <w:vAlign w:val="center"/>
          </w:tcPr>
          <w:p>
            <w:pPr>
              <w:keepNext w:val="0"/>
              <w:keepLines w:val="0"/>
              <w:pageBreakBefore w:val="0"/>
              <w:widowControl w:val="0"/>
              <w:kinsoku/>
              <w:wordWrap/>
              <w:overflowPunct/>
              <w:topLinePunct w:val="0"/>
              <w:autoSpaceDE/>
              <w:autoSpaceDN/>
              <w:bidi w:val="0"/>
              <w:adjustRightInd/>
              <w:spacing w:after="78" w:afterLines="25" w:line="240" w:lineRule="auto"/>
              <w:ind w:firstLine="360" w:firstLineChars="200"/>
              <w:textAlignment w:val="auto"/>
              <w:rPr>
                <w:rFonts w:hint="eastAsia" w:ascii="仿宋_GB2312" w:hAnsi="宋体" w:eastAsia="仿宋_GB2312" w:cs="仿宋"/>
                <w:b w:val="0"/>
                <w:bCs/>
                <w:color w:val="auto"/>
                <w:sz w:val="18"/>
                <w:szCs w:val="18"/>
                <w:highlight w:val="none"/>
                <w:lang w:val="en-US" w:eastAsia="zh-CN"/>
              </w:rPr>
            </w:pPr>
          </w:p>
        </w:tc>
        <w:tc>
          <w:tcPr>
            <w:tcW w:w="5801" w:type="dxa"/>
            <w:noWrap w:val="0"/>
            <w:vAlign w:val="top"/>
          </w:tcPr>
          <w:p>
            <w:pPr>
              <w:keepNext w:val="0"/>
              <w:keepLines w:val="0"/>
              <w:pageBreakBefore w:val="0"/>
              <w:widowControl w:val="0"/>
              <w:kinsoku/>
              <w:wordWrap/>
              <w:overflowPunct/>
              <w:topLinePunct w:val="0"/>
              <w:autoSpaceDE/>
              <w:autoSpaceDN/>
              <w:bidi w:val="0"/>
              <w:adjustRightInd/>
              <w:spacing w:after="78" w:afterLines="25" w:line="240" w:lineRule="auto"/>
              <w:ind w:firstLine="361" w:firstLineChars="200"/>
              <w:textAlignment w:val="auto"/>
              <w:rPr>
                <w:rFonts w:hint="default" w:ascii="仿宋_GB2312" w:hAnsi="宋体" w:eastAsia="仿宋_GB2312" w:cs="仿宋"/>
                <w:b w:val="0"/>
                <w:bCs/>
                <w:color w:val="auto"/>
                <w:sz w:val="18"/>
                <w:szCs w:val="18"/>
                <w:highlight w:val="none"/>
                <w:lang w:val="en-US" w:eastAsia="zh-CN"/>
              </w:rPr>
            </w:pPr>
            <w:r>
              <w:rPr>
                <w:rFonts w:hint="eastAsia" w:ascii="仿宋_GB2312" w:hAnsi="宋体" w:eastAsia="仿宋_GB2312" w:cs="仿宋"/>
                <w:b/>
                <w:bCs w:val="0"/>
                <w:color w:val="auto"/>
                <w:sz w:val="18"/>
                <w:szCs w:val="18"/>
                <w:highlight w:val="none"/>
                <w:lang w:val="en-US" w:eastAsia="zh-CN"/>
              </w:rPr>
              <w:t>2.实验人数：</w:t>
            </w:r>
            <w:r>
              <w:rPr>
                <w:rFonts w:hint="eastAsia" w:ascii="仿宋_GB2312" w:hAnsi="宋体" w:eastAsia="仿宋_GB2312" w:cs="仿宋"/>
                <w:b w:val="0"/>
                <w:bCs/>
                <w:color w:val="auto"/>
                <w:sz w:val="18"/>
                <w:szCs w:val="18"/>
                <w:highlight w:val="none"/>
                <w:lang w:val="en-US" w:eastAsia="zh-CN"/>
              </w:rPr>
              <w:t>不少于10人。</w:t>
            </w:r>
          </w:p>
        </w:tc>
        <w:tc>
          <w:tcPr>
            <w:tcW w:w="582" w:type="dxa"/>
            <w:vMerge w:val="continue"/>
            <w:noWrap w:val="0"/>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default" w:ascii="仿宋_GB2312" w:hAnsi="宋体" w:eastAsia="仿宋_GB2312" w:cs="仿宋"/>
                <w:b/>
                <w:bCs w:val="0"/>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6" w:hRule="atLeast"/>
        </w:trPr>
        <w:tc>
          <w:tcPr>
            <w:tcW w:w="644" w:type="dxa"/>
            <w:vMerge w:val="continue"/>
            <w:noWrap w:val="0"/>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仿宋_GB2312" w:hAnsi="宋体" w:eastAsia="仿宋_GB2312" w:cs="仿宋"/>
                <w:b/>
                <w:bCs/>
                <w:szCs w:val="21"/>
              </w:rPr>
            </w:pPr>
          </w:p>
        </w:tc>
        <w:tc>
          <w:tcPr>
            <w:tcW w:w="1134" w:type="dxa"/>
            <w:vMerge w:val="continue"/>
            <w:noWrap w:val="0"/>
            <w:vAlign w:val="center"/>
          </w:tcPr>
          <w:p>
            <w:pPr>
              <w:keepNext w:val="0"/>
              <w:keepLines w:val="0"/>
              <w:pageBreakBefore w:val="0"/>
              <w:widowControl w:val="0"/>
              <w:kinsoku/>
              <w:wordWrap/>
              <w:overflowPunct/>
              <w:topLinePunct w:val="0"/>
              <w:autoSpaceDE/>
              <w:autoSpaceDN/>
              <w:bidi w:val="0"/>
              <w:adjustRightInd/>
              <w:spacing w:after="78" w:afterLines="25" w:line="240" w:lineRule="auto"/>
              <w:ind w:firstLine="360" w:firstLineChars="200"/>
              <w:textAlignment w:val="auto"/>
              <w:rPr>
                <w:rFonts w:hint="eastAsia" w:ascii="仿宋_GB2312" w:hAnsi="宋体" w:eastAsia="仿宋_GB2312" w:cs="仿宋"/>
                <w:b w:val="0"/>
                <w:bCs/>
                <w:color w:val="auto"/>
                <w:sz w:val="18"/>
                <w:szCs w:val="18"/>
                <w:highlight w:val="none"/>
                <w:lang w:val="en-US" w:eastAsia="zh-CN"/>
              </w:rPr>
            </w:pPr>
          </w:p>
        </w:tc>
        <w:tc>
          <w:tcPr>
            <w:tcW w:w="5801" w:type="dxa"/>
            <w:noWrap w:val="0"/>
            <w:vAlign w:val="center"/>
          </w:tcPr>
          <w:p>
            <w:pPr>
              <w:keepNext w:val="0"/>
              <w:keepLines w:val="0"/>
              <w:pageBreakBefore w:val="0"/>
              <w:widowControl w:val="0"/>
              <w:kinsoku/>
              <w:wordWrap/>
              <w:overflowPunct/>
              <w:topLinePunct w:val="0"/>
              <w:autoSpaceDE/>
              <w:autoSpaceDN/>
              <w:bidi w:val="0"/>
              <w:adjustRightInd/>
              <w:spacing w:after="78" w:afterLines="25" w:line="240" w:lineRule="auto"/>
              <w:ind w:firstLine="361" w:firstLineChars="200"/>
              <w:textAlignment w:val="auto"/>
              <w:rPr>
                <w:rFonts w:hint="eastAsia" w:ascii="仿宋_GB2312" w:hAnsi="宋体" w:eastAsia="仿宋_GB2312" w:cs="仿宋"/>
                <w:b w:val="0"/>
                <w:bCs/>
                <w:color w:val="auto"/>
                <w:sz w:val="18"/>
                <w:szCs w:val="18"/>
                <w:highlight w:val="none"/>
                <w:lang w:val="en-US" w:eastAsia="zh-CN"/>
              </w:rPr>
            </w:pPr>
            <w:r>
              <w:rPr>
                <w:rFonts w:hint="eastAsia" w:ascii="仿宋_GB2312" w:hAnsi="宋体" w:eastAsia="仿宋_GB2312" w:cs="仿宋"/>
                <w:b/>
                <w:bCs w:val="0"/>
                <w:color w:val="auto"/>
                <w:sz w:val="18"/>
                <w:szCs w:val="18"/>
                <w:highlight w:val="none"/>
                <w:lang w:val="en-US" w:eastAsia="zh-CN"/>
              </w:rPr>
              <w:t>3.项目经理：</w:t>
            </w:r>
            <w:r>
              <w:rPr>
                <w:rFonts w:hint="eastAsia" w:ascii="仿宋_GB2312" w:hAnsi="宋体" w:eastAsia="仿宋_GB2312" w:cs="仿宋"/>
                <w:b w:val="0"/>
                <w:bCs/>
                <w:color w:val="auto"/>
                <w:sz w:val="18"/>
                <w:szCs w:val="18"/>
                <w:highlight w:val="none"/>
                <w:lang w:val="en-US" w:eastAsia="zh-CN"/>
              </w:rPr>
              <w:t>具有电气或机电专业本科及以上学历，具备中级工程师“建设工程专业”及以上职称，具有特种电工作业证书（继电保护作业和电气保护作业）及“高、低压电工作业证”。</w:t>
            </w:r>
          </w:p>
        </w:tc>
        <w:tc>
          <w:tcPr>
            <w:tcW w:w="582" w:type="dxa"/>
            <w:vMerge w:val="continue"/>
            <w:noWrap w:val="0"/>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default" w:ascii="仿宋_GB2312" w:hAnsi="宋体" w:eastAsia="仿宋_GB2312" w:cs="仿宋"/>
                <w:b/>
                <w:bCs w:val="0"/>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2" w:hRule="atLeast"/>
        </w:trPr>
        <w:tc>
          <w:tcPr>
            <w:tcW w:w="644" w:type="dxa"/>
            <w:vMerge w:val="continue"/>
            <w:noWrap w:val="0"/>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仿宋_GB2312" w:hAnsi="宋体" w:eastAsia="仿宋_GB2312" w:cs="仿宋"/>
                <w:b/>
                <w:bCs/>
                <w:szCs w:val="21"/>
              </w:rPr>
            </w:pPr>
          </w:p>
        </w:tc>
        <w:tc>
          <w:tcPr>
            <w:tcW w:w="1134" w:type="dxa"/>
            <w:vMerge w:val="continue"/>
            <w:noWrap w:val="0"/>
            <w:vAlign w:val="center"/>
          </w:tcPr>
          <w:p>
            <w:pPr>
              <w:keepNext w:val="0"/>
              <w:keepLines w:val="0"/>
              <w:pageBreakBefore w:val="0"/>
              <w:widowControl w:val="0"/>
              <w:kinsoku/>
              <w:wordWrap/>
              <w:overflowPunct/>
              <w:topLinePunct w:val="0"/>
              <w:autoSpaceDE/>
              <w:autoSpaceDN/>
              <w:bidi w:val="0"/>
              <w:adjustRightInd/>
              <w:spacing w:after="78" w:afterLines="25" w:line="240" w:lineRule="auto"/>
              <w:ind w:firstLine="360" w:firstLineChars="200"/>
              <w:textAlignment w:val="auto"/>
              <w:rPr>
                <w:rFonts w:hint="eastAsia" w:ascii="仿宋_GB2312" w:hAnsi="宋体" w:eastAsia="仿宋_GB2312" w:cs="仿宋"/>
                <w:b w:val="0"/>
                <w:bCs/>
                <w:color w:val="auto"/>
                <w:sz w:val="18"/>
                <w:szCs w:val="18"/>
                <w:highlight w:val="none"/>
                <w:lang w:val="en-US" w:eastAsia="zh-CN"/>
              </w:rPr>
            </w:pPr>
          </w:p>
        </w:tc>
        <w:tc>
          <w:tcPr>
            <w:tcW w:w="5801" w:type="dxa"/>
            <w:noWrap w:val="0"/>
            <w:vAlign w:val="center"/>
          </w:tcPr>
          <w:p>
            <w:pPr>
              <w:keepNext w:val="0"/>
              <w:keepLines w:val="0"/>
              <w:pageBreakBefore w:val="0"/>
              <w:widowControl w:val="0"/>
              <w:kinsoku/>
              <w:wordWrap/>
              <w:overflowPunct/>
              <w:topLinePunct w:val="0"/>
              <w:autoSpaceDE/>
              <w:autoSpaceDN/>
              <w:bidi w:val="0"/>
              <w:adjustRightInd/>
              <w:spacing w:after="78" w:afterLines="25" w:line="240" w:lineRule="auto"/>
              <w:ind w:firstLine="361" w:firstLineChars="200"/>
              <w:textAlignment w:val="auto"/>
              <w:rPr>
                <w:rFonts w:hint="eastAsia" w:ascii="仿宋_GB2312" w:hAnsi="宋体" w:eastAsia="仿宋_GB2312" w:cs="仿宋"/>
                <w:b w:val="0"/>
                <w:bCs/>
                <w:color w:val="auto"/>
                <w:sz w:val="18"/>
                <w:szCs w:val="18"/>
                <w:highlight w:val="none"/>
                <w:lang w:val="en-US" w:eastAsia="zh-CN"/>
              </w:rPr>
            </w:pPr>
            <w:r>
              <w:rPr>
                <w:rFonts w:hint="eastAsia" w:ascii="仿宋_GB2312" w:hAnsi="宋体" w:eastAsia="仿宋_GB2312" w:cs="仿宋"/>
                <w:b/>
                <w:bCs w:val="0"/>
                <w:color w:val="auto"/>
                <w:sz w:val="18"/>
                <w:szCs w:val="18"/>
                <w:highlight w:val="none"/>
                <w:lang w:val="en-US" w:eastAsia="zh-CN"/>
              </w:rPr>
              <w:t>4.试验人员：</w:t>
            </w:r>
            <w:r>
              <w:rPr>
                <w:rFonts w:hint="eastAsia" w:ascii="仿宋_GB2312" w:hAnsi="宋体" w:eastAsia="仿宋_GB2312" w:cs="仿宋"/>
                <w:b w:val="0"/>
                <w:bCs/>
                <w:color w:val="auto"/>
                <w:sz w:val="18"/>
                <w:szCs w:val="18"/>
                <w:highlight w:val="none"/>
                <w:lang w:val="en-US" w:eastAsia="zh-CN"/>
              </w:rPr>
              <w:t>至少6名技术人员，具备国家安监局颁发的“继电保护作业证”两人、“电气试验作业证”两人、“电力电缆作业证”两人。</w:t>
            </w:r>
          </w:p>
        </w:tc>
        <w:tc>
          <w:tcPr>
            <w:tcW w:w="582" w:type="dxa"/>
            <w:vMerge w:val="continue"/>
            <w:noWrap w:val="0"/>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default" w:ascii="仿宋_GB2312" w:hAnsi="宋体" w:eastAsia="仿宋_GB2312" w:cs="仿宋"/>
                <w:b/>
                <w:bCs w:val="0"/>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7" w:hRule="atLeast"/>
        </w:trPr>
        <w:tc>
          <w:tcPr>
            <w:tcW w:w="644" w:type="dxa"/>
            <w:vMerge w:val="continue"/>
            <w:noWrap w:val="0"/>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仿宋_GB2312" w:hAnsi="宋体" w:eastAsia="仿宋_GB2312" w:cs="仿宋"/>
                <w:b/>
                <w:bCs/>
                <w:szCs w:val="21"/>
              </w:rPr>
            </w:pPr>
          </w:p>
        </w:tc>
        <w:tc>
          <w:tcPr>
            <w:tcW w:w="1134" w:type="dxa"/>
            <w:vMerge w:val="continue"/>
            <w:noWrap w:val="0"/>
            <w:vAlign w:val="center"/>
          </w:tcPr>
          <w:p>
            <w:pPr>
              <w:keepNext w:val="0"/>
              <w:keepLines w:val="0"/>
              <w:pageBreakBefore w:val="0"/>
              <w:widowControl w:val="0"/>
              <w:kinsoku/>
              <w:wordWrap/>
              <w:overflowPunct/>
              <w:topLinePunct w:val="0"/>
              <w:autoSpaceDE/>
              <w:autoSpaceDN/>
              <w:bidi w:val="0"/>
              <w:adjustRightInd/>
              <w:spacing w:after="78" w:afterLines="25" w:line="240" w:lineRule="auto"/>
              <w:ind w:firstLine="360" w:firstLineChars="200"/>
              <w:textAlignment w:val="auto"/>
              <w:rPr>
                <w:rFonts w:hint="eastAsia" w:ascii="仿宋_GB2312" w:hAnsi="宋体" w:eastAsia="仿宋_GB2312" w:cs="仿宋"/>
                <w:b w:val="0"/>
                <w:bCs/>
                <w:color w:val="auto"/>
                <w:sz w:val="18"/>
                <w:szCs w:val="18"/>
                <w:highlight w:val="none"/>
                <w:lang w:val="en-US" w:eastAsia="zh-CN"/>
              </w:rPr>
            </w:pPr>
          </w:p>
        </w:tc>
        <w:tc>
          <w:tcPr>
            <w:tcW w:w="5801" w:type="dxa"/>
            <w:noWrap w:val="0"/>
            <w:vAlign w:val="center"/>
          </w:tcPr>
          <w:p>
            <w:pPr>
              <w:keepNext w:val="0"/>
              <w:keepLines w:val="0"/>
              <w:pageBreakBefore w:val="0"/>
              <w:widowControl w:val="0"/>
              <w:kinsoku/>
              <w:wordWrap/>
              <w:overflowPunct/>
              <w:topLinePunct w:val="0"/>
              <w:autoSpaceDE/>
              <w:autoSpaceDN/>
              <w:bidi w:val="0"/>
              <w:adjustRightInd/>
              <w:spacing w:after="78" w:afterLines="25" w:line="240" w:lineRule="auto"/>
              <w:ind w:firstLine="361" w:firstLineChars="200"/>
              <w:textAlignment w:val="auto"/>
              <w:rPr>
                <w:rFonts w:hint="eastAsia"/>
                <w:lang w:val="en-US" w:eastAsia="zh-CN"/>
              </w:rPr>
            </w:pPr>
            <w:r>
              <w:rPr>
                <w:rFonts w:hint="eastAsia" w:ascii="仿宋_GB2312" w:hAnsi="宋体" w:eastAsia="仿宋_GB2312" w:cs="仿宋"/>
                <w:b/>
                <w:bCs w:val="0"/>
                <w:color w:val="auto"/>
                <w:sz w:val="18"/>
                <w:szCs w:val="18"/>
                <w:highlight w:val="none"/>
                <w:lang w:val="en-US" w:eastAsia="zh-CN"/>
              </w:rPr>
              <w:t>5.维修人员</w:t>
            </w:r>
            <w:r>
              <w:rPr>
                <w:rFonts w:hint="eastAsia" w:ascii="仿宋_GB2312" w:hAnsi="宋体" w:eastAsia="仿宋_GB2312" w:cs="仿宋"/>
                <w:b w:val="0"/>
                <w:bCs/>
                <w:color w:val="auto"/>
                <w:sz w:val="18"/>
                <w:szCs w:val="18"/>
                <w:highlight w:val="none"/>
                <w:lang w:val="en-US" w:eastAsia="zh-CN"/>
              </w:rPr>
              <w:t>：实验人员中包含3位维修人员。同时具备国家安监局颁发的“高处安装、维护、拆除作业证”及“熔化焊接与热切割作业证”。</w:t>
            </w:r>
          </w:p>
        </w:tc>
        <w:tc>
          <w:tcPr>
            <w:tcW w:w="582" w:type="dxa"/>
            <w:vMerge w:val="continue"/>
            <w:noWrap w:val="0"/>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default" w:ascii="仿宋_GB2312" w:hAnsi="宋体" w:eastAsia="仿宋_GB2312" w:cs="仿宋"/>
                <w:b/>
                <w:bCs w:val="0"/>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644" w:type="dxa"/>
            <w:vMerge w:val="continue"/>
            <w:noWrap w:val="0"/>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仿宋_GB2312" w:hAnsi="宋体" w:eastAsia="仿宋_GB2312" w:cs="仿宋"/>
                <w:b/>
                <w:bCs/>
                <w:szCs w:val="21"/>
              </w:rPr>
            </w:pPr>
          </w:p>
        </w:tc>
        <w:tc>
          <w:tcPr>
            <w:tcW w:w="1134" w:type="dxa"/>
            <w:vMerge w:val="continue"/>
            <w:noWrap w:val="0"/>
            <w:vAlign w:val="center"/>
          </w:tcPr>
          <w:p>
            <w:pPr>
              <w:keepNext w:val="0"/>
              <w:keepLines w:val="0"/>
              <w:pageBreakBefore w:val="0"/>
              <w:widowControl w:val="0"/>
              <w:kinsoku/>
              <w:wordWrap/>
              <w:overflowPunct/>
              <w:topLinePunct w:val="0"/>
              <w:autoSpaceDE/>
              <w:autoSpaceDN/>
              <w:bidi w:val="0"/>
              <w:adjustRightInd/>
              <w:spacing w:after="78" w:afterLines="25" w:line="240" w:lineRule="auto"/>
              <w:ind w:firstLine="360" w:firstLineChars="200"/>
              <w:textAlignment w:val="auto"/>
              <w:rPr>
                <w:rFonts w:hint="eastAsia" w:ascii="仿宋_GB2312" w:hAnsi="宋体" w:eastAsia="仿宋_GB2312" w:cs="仿宋"/>
                <w:b w:val="0"/>
                <w:bCs/>
                <w:color w:val="auto"/>
                <w:sz w:val="18"/>
                <w:szCs w:val="18"/>
                <w:highlight w:val="none"/>
                <w:lang w:val="en-US" w:eastAsia="zh-CN"/>
              </w:rPr>
            </w:pPr>
          </w:p>
        </w:tc>
        <w:tc>
          <w:tcPr>
            <w:tcW w:w="5801" w:type="dxa"/>
            <w:noWrap w:val="0"/>
            <w:vAlign w:val="center"/>
          </w:tcPr>
          <w:p>
            <w:pPr>
              <w:keepNext w:val="0"/>
              <w:keepLines w:val="0"/>
              <w:pageBreakBefore w:val="0"/>
              <w:widowControl w:val="0"/>
              <w:kinsoku/>
              <w:wordWrap/>
              <w:overflowPunct/>
              <w:topLinePunct w:val="0"/>
              <w:autoSpaceDE/>
              <w:autoSpaceDN/>
              <w:bidi w:val="0"/>
              <w:adjustRightInd/>
              <w:spacing w:after="78" w:afterLines="25" w:line="240" w:lineRule="auto"/>
              <w:ind w:firstLine="361" w:firstLineChars="200"/>
              <w:textAlignment w:val="auto"/>
              <w:rPr>
                <w:rFonts w:hint="default" w:ascii="仿宋_GB2312" w:hAnsi="宋体" w:eastAsia="仿宋_GB2312" w:cs="仿宋"/>
                <w:b w:val="0"/>
                <w:bCs/>
                <w:color w:val="auto"/>
                <w:sz w:val="18"/>
                <w:szCs w:val="18"/>
                <w:highlight w:val="none"/>
                <w:lang w:val="en-US" w:eastAsia="zh-CN"/>
              </w:rPr>
            </w:pPr>
            <w:r>
              <w:rPr>
                <w:rFonts w:hint="eastAsia" w:ascii="仿宋_GB2312" w:hAnsi="宋体" w:eastAsia="仿宋_GB2312" w:cs="仿宋"/>
                <w:b/>
                <w:bCs w:val="0"/>
                <w:color w:val="auto"/>
                <w:sz w:val="18"/>
                <w:szCs w:val="18"/>
                <w:highlight w:val="none"/>
                <w:lang w:val="en-US" w:eastAsia="zh-CN"/>
              </w:rPr>
              <w:t>6.保险</w:t>
            </w:r>
            <w:r>
              <w:rPr>
                <w:rFonts w:hint="eastAsia" w:ascii="仿宋_GB2312" w:hAnsi="宋体" w:eastAsia="仿宋_GB2312" w:cs="仿宋"/>
                <w:b w:val="0"/>
                <w:bCs/>
                <w:color w:val="auto"/>
                <w:sz w:val="18"/>
                <w:szCs w:val="18"/>
                <w:highlight w:val="none"/>
                <w:lang w:val="en-US" w:eastAsia="zh-CN"/>
              </w:rPr>
              <w:t>：投标人须为本次项目配备的试验人员购买有效期内的雇主责任险及意外伤害险；同时提供社保机构出具近3个月，投标人为试验人员缴纳的养老保险缴费证明材料（须加盖社保中心章或社保中心参保缴费证明电子专用章或具有可验证的二维码（或验证码），至少提供近3个月）。</w:t>
            </w:r>
          </w:p>
        </w:tc>
        <w:tc>
          <w:tcPr>
            <w:tcW w:w="582" w:type="dxa"/>
            <w:vMerge w:val="continue"/>
            <w:noWrap w:val="0"/>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default" w:ascii="仿宋_GB2312" w:hAnsi="宋体" w:eastAsia="仿宋_GB2312" w:cs="仿宋"/>
                <w:b/>
                <w:bCs w:val="0"/>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44" w:type="dxa"/>
            <w:vMerge w:val="continue"/>
            <w:noWrap w:val="0"/>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仿宋_GB2312" w:hAnsi="宋体" w:eastAsia="仿宋_GB2312" w:cs="仿宋"/>
                <w:b/>
                <w:bCs/>
                <w:szCs w:val="21"/>
              </w:rPr>
            </w:pPr>
          </w:p>
        </w:tc>
        <w:tc>
          <w:tcPr>
            <w:tcW w:w="1134" w:type="dxa"/>
            <w:vMerge w:val="continue"/>
            <w:noWrap w:val="0"/>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仿宋_GB2312" w:hAnsi="宋体" w:eastAsia="仿宋_GB2312" w:cs="仿宋"/>
                <w:b/>
                <w:bCs/>
                <w:szCs w:val="21"/>
              </w:rPr>
            </w:pPr>
          </w:p>
        </w:tc>
        <w:tc>
          <w:tcPr>
            <w:tcW w:w="5801" w:type="dxa"/>
            <w:noWrap w:val="0"/>
            <w:vAlign w:val="top"/>
          </w:tcPr>
          <w:p>
            <w:pPr>
              <w:keepNext w:val="0"/>
              <w:keepLines w:val="0"/>
              <w:pageBreakBefore w:val="0"/>
              <w:widowControl w:val="0"/>
              <w:kinsoku/>
              <w:wordWrap/>
              <w:overflowPunct/>
              <w:topLinePunct w:val="0"/>
              <w:autoSpaceDE/>
              <w:autoSpaceDN/>
              <w:bidi w:val="0"/>
              <w:adjustRightInd/>
              <w:spacing w:after="78" w:afterLines="25" w:line="240" w:lineRule="auto"/>
              <w:ind w:firstLine="361" w:firstLineChars="200"/>
              <w:textAlignment w:val="auto"/>
              <w:rPr>
                <w:rFonts w:hint="default" w:ascii="仿宋_GB2312" w:hAnsi="宋体" w:eastAsia="仿宋_GB2312" w:cs="仿宋"/>
                <w:b w:val="0"/>
                <w:bCs/>
                <w:color w:val="auto"/>
                <w:sz w:val="18"/>
                <w:szCs w:val="18"/>
                <w:highlight w:val="none"/>
                <w:lang w:val="en-US" w:eastAsia="zh-CN"/>
              </w:rPr>
            </w:pPr>
            <w:r>
              <w:rPr>
                <w:rFonts w:hint="eastAsia" w:ascii="仿宋_GB2312" w:hAnsi="宋体" w:eastAsia="仿宋_GB2312" w:cs="仿宋"/>
                <w:b/>
                <w:bCs w:val="0"/>
                <w:color w:val="auto"/>
                <w:sz w:val="18"/>
                <w:szCs w:val="18"/>
                <w:highlight w:val="none"/>
                <w:lang w:val="en-US" w:eastAsia="zh-CN"/>
              </w:rPr>
              <w:t>7.</w:t>
            </w:r>
            <w:bookmarkStart w:id="0" w:name="_Toc9439"/>
            <w:bookmarkStart w:id="1" w:name="_Toc23527"/>
            <w:bookmarkStart w:id="2" w:name="_Toc21377"/>
            <w:bookmarkStart w:id="3" w:name="_Toc3139"/>
            <w:bookmarkStart w:id="4" w:name="_Toc28872"/>
            <w:r>
              <w:rPr>
                <w:rFonts w:hint="eastAsia" w:ascii="仿宋_GB2312" w:hAnsi="宋体" w:eastAsia="仿宋_GB2312" w:cs="仿宋"/>
                <w:b/>
                <w:bCs w:val="0"/>
                <w:color w:val="auto"/>
                <w:sz w:val="18"/>
                <w:szCs w:val="18"/>
                <w:highlight w:val="none"/>
                <w:lang w:val="en-US" w:eastAsia="zh-CN"/>
              </w:rPr>
              <w:t>试验设备配置要求：</w:t>
            </w:r>
            <w:bookmarkEnd w:id="0"/>
            <w:bookmarkEnd w:id="1"/>
            <w:bookmarkEnd w:id="2"/>
            <w:bookmarkEnd w:id="3"/>
            <w:bookmarkEnd w:id="4"/>
            <w:r>
              <w:rPr>
                <w:rFonts w:hint="eastAsia" w:ascii="仿宋_GB2312" w:hAnsi="宋体" w:eastAsia="仿宋_GB2312" w:cs="仿宋"/>
                <w:b w:val="0"/>
                <w:bCs/>
                <w:color w:val="auto"/>
                <w:sz w:val="18"/>
                <w:szCs w:val="18"/>
                <w:highlight w:val="none"/>
                <w:lang w:val="en-US" w:eastAsia="zh-CN"/>
              </w:rPr>
              <w:t>提供所需试验设备的照片及采购发票。</w:t>
            </w:r>
          </w:p>
        </w:tc>
        <w:tc>
          <w:tcPr>
            <w:tcW w:w="582" w:type="dxa"/>
            <w:vMerge w:val="continue"/>
            <w:noWrap w:val="0"/>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default" w:ascii="仿宋_GB2312" w:hAnsi="宋体" w:eastAsia="仿宋_GB2312" w:cs="仿宋"/>
                <w:b/>
                <w:bCs w:val="0"/>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1" w:hRule="atLeast"/>
        </w:trPr>
        <w:tc>
          <w:tcPr>
            <w:tcW w:w="644" w:type="dxa"/>
            <w:vMerge w:val="continue"/>
            <w:noWrap w:val="0"/>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仿宋_GB2312" w:hAnsi="宋体" w:eastAsia="仿宋_GB2312" w:cs="仿宋"/>
                <w:b/>
                <w:bCs/>
                <w:szCs w:val="21"/>
              </w:rPr>
            </w:pPr>
          </w:p>
        </w:tc>
        <w:tc>
          <w:tcPr>
            <w:tcW w:w="1134" w:type="dxa"/>
            <w:vMerge w:val="continue"/>
            <w:noWrap w:val="0"/>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仿宋_GB2312" w:hAnsi="宋体" w:eastAsia="仿宋_GB2312" w:cs="仿宋"/>
                <w:b/>
                <w:bCs/>
                <w:szCs w:val="21"/>
              </w:rPr>
            </w:pPr>
          </w:p>
        </w:tc>
        <w:tc>
          <w:tcPr>
            <w:tcW w:w="5801" w:type="dxa"/>
            <w:noWrap w:val="0"/>
            <w:vAlign w:val="top"/>
          </w:tcPr>
          <w:p>
            <w:pPr>
              <w:keepNext w:val="0"/>
              <w:keepLines w:val="0"/>
              <w:pageBreakBefore w:val="0"/>
              <w:widowControl w:val="0"/>
              <w:kinsoku/>
              <w:wordWrap/>
              <w:overflowPunct/>
              <w:topLinePunct w:val="0"/>
              <w:autoSpaceDE/>
              <w:autoSpaceDN/>
              <w:bidi w:val="0"/>
              <w:adjustRightInd/>
              <w:spacing w:after="78" w:afterLines="25" w:line="240" w:lineRule="auto"/>
              <w:ind w:firstLine="361" w:firstLineChars="200"/>
              <w:textAlignment w:val="auto"/>
              <w:rPr>
                <w:rFonts w:hint="default" w:ascii="仿宋_GB2312" w:hAnsi="宋体" w:eastAsia="仿宋_GB2312" w:cs="仿宋"/>
                <w:b/>
                <w:bCs w:val="0"/>
                <w:color w:val="auto"/>
                <w:sz w:val="18"/>
                <w:szCs w:val="18"/>
                <w:highlight w:val="none"/>
                <w:lang w:val="en-US" w:eastAsia="zh-CN"/>
              </w:rPr>
            </w:pPr>
            <w:r>
              <w:rPr>
                <w:rFonts w:hint="eastAsia" w:ascii="仿宋_GB2312" w:hAnsi="宋体" w:eastAsia="仿宋_GB2312" w:cs="仿宋"/>
                <w:b/>
                <w:bCs w:val="0"/>
                <w:color w:val="auto"/>
                <w:sz w:val="18"/>
                <w:szCs w:val="18"/>
                <w:highlight w:val="none"/>
                <w:lang w:val="en-US" w:eastAsia="zh-CN"/>
              </w:rPr>
              <w:t>8.试验设备校验要求：</w:t>
            </w:r>
            <w:r>
              <w:rPr>
                <w:rFonts w:hint="eastAsia" w:ascii="仿宋_GB2312" w:hAnsi="宋体" w:eastAsia="仿宋_GB2312" w:cs="仿宋"/>
                <w:b w:val="0"/>
                <w:bCs/>
                <w:color w:val="auto"/>
                <w:sz w:val="18"/>
                <w:szCs w:val="18"/>
                <w:highlight w:val="none"/>
                <w:lang w:val="en-US" w:eastAsia="zh-CN"/>
              </w:rPr>
              <w:t>试验设备本身须定期送检校验核准，根据主要试验设备清单要求，提供所需主要试验设备的检验报告；（提供主要试验设备江苏省或南京市的计量检验中心检验报告复印件并加盖单位公章，报告原件备查）。</w:t>
            </w:r>
          </w:p>
        </w:tc>
        <w:tc>
          <w:tcPr>
            <w:tcW w:w="582" w:type="dxa"/>
            <w:vMerge w:val="continue"/>
            <w:noWrap w:val="0"/>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default" w:ascii="仿宋_GB2312" w:hAnsi="宋体" w:eastAsia="仿宋_GB2312" w:cs="仿宋"/>
                <w:b/>
                <w:bCs w:val="0"/>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 w:hRule="atLeast"/>
        </w:trPr>
        <w:tc>
          <w:tcPr>
            <w:tcW w:w="644" w:type="dxa"/>
            <w:vMerge w:val="restart"/>
            <w:noWrap w:val="0"/>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default" w:ascii="仿宋_GB2312" w:hAnsi="宋体" w:eastAsia="仿宋_GB2312" w:cs="仿宋"/>
                <w:b/>
                <w:bCs/>
                <w:szCs w:val="21"/>
                <w:lang w:val="en-US" w:eastAsia="zh-CN"/>
              </w:rPr>
            </w:pPr>
            <w:r>
              <w:rPr>
                <w:rFonts w:hint="eastAsia" w:ascii="仿宋_GB2312" w:hAnsi="宋体" w:eastAsia="仿宋_GB2312" w:cs="仿宋"/>
                <w:b/>
                <w:bCs/>
                <w:szCs w:val="21"/>
                <w:lang w:val="en-US" w:eastAsia="zh-CN"/>
              </w:rPr>
              <w:t>三</w:t>
            </w:r>
          </w:p>
        </w:tc>
        <w:tc>
          <w:tcPr>
            <w:tcW w:w="1134" w:type="dxa"/>
            <w:vMerge w:val="restart"/>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仿宋_GB2312" w:hAnsi="宋体" w:eastAsia="仿宋_GB2312" w:cs="仿宋"/>
                <w:b/>
                <w:bCs w:val="0"/>
                <w:szCs w:val="21"/>
                <w:lang w:val="en-US" w:eastAsia="zh-CN"/>
              </w:rPr>
            </w:pPr>
            <w:r>
              <w:rPr>
                <w:rFonts w:hint="eastAsia" w:ascii="仿宋_GB2312" w:hAnsi="宋体" w:eastAsia="仿宋_GB2312" w:cs="仿宋"/>
                <w:b/>
                <w:bCs w:val="0"/>
                <w:szCs w:val="21"/>
                <w:lang w:val="en-US" w:eastAsia="zh-CN"/>
              </w:rPr>
              <w:t>施工要求</w:t>
            </w:r>
          </w:p>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_GB2312" w:hAnsi="宋体" w:eastAsia="仿宋_GB2312" w:cs="仿宋"/>
                <w:bCs/>
                <w:szCs w:val="21"/>
              </w:rPr>
            </w:pPr>
            <w:r>
              <w:rPr>
                <w:rFonts w:hint="eastAsia" w:ascii="仿宋_GB2312" w:hAnsi="宋体" w:eastAsia="仿宋_GB2312" w:cs="仿宋"/>
                <w:b/>
                <w:bCs w:val="0"/>
                <w:szCs w:val="21"/>
              </w:rPr>
              <w:t>（</w:t>
            </w:r>
            <w:r>
              <w:rPr>
                <w:rFonts w:hint="eastAsia" w:ascii="仿宋_GB2312" w:hAnsi="宋体" w:eastAsia="仿宋_GB2312" w:cs="仿宋"/>
                <w:b/>
                <w:bCs w:val="0"/>
                <w:szCs w:val="21"/>
                <w:lang w:val="en-US" w:eastAsia="zh-CN"/>
              </w:rPr>
              <w:t>50</w:t>
            </w:r>
            <w:r>
              <w:rPr>
                <w:rFonts w:hint="eastAsia" w:ascii="仿宋_GB2312" w:hAnsi="宋体" w:eastAsia="仿宋_GB2312" w:cs="仿宋"/>
                <w:b/>
                <w:bCs w:val="0"/>
                <w:szCs w:val="21"/>
              </w:rPr>
              <w:t>分）</w:t>
            </w:r>
          </w:p>
        </w:tc>
        <w:tc>
          <w:tcPr>
            <w:tcW w:w="5801" w:type="dxa"/>
            <w:noWrap w:val="0"/>
            <w:vAlign w:val="top"/>
          </w:tcPr>
          <w:p>
            <w:pPr>
              <w:pStyle w:val="3"/>
              <w:keepNext w:val="0"/>
              <w:keepLines w:val="0"/>
              <w:pageBreakBefore w:val="0"/>
              <w:widowControl w:val="0"/>
              <w:numPr>
                <w:ilvl w:val="0"/>
                <w:numId w:val="0"/>
              </w:numPr>
              <w:kinsoku/>
              <w:wordWrap/>
              <w:overflowPunct/>
              <w:topLinePunct w:val="0"/>
              <w:autoSpaceDE/>
              <w:autoSpaceDN/>
              <w:bidi w:val="0"/>
              <w:adjustRightInd/>
              <w:spacing w:line="240" w:lineRule="auto"/>
              <w:textAlignment w:val="auto"/>
              <w:rPr>
                <w:rFonts w:hint="eastAsia" w:ascii="仿宋_GB2312" w:hAnsi="宋体" w:eastAsia="仿宋_GB2312" w:cs="仿宋"/>
                <w:bCs/>
                <w:sz w:val="18"/>
                <w:szCs w:val="18"/>
              </w:rPr>
            </w:pPr>
            <w:r>
              <w:rPr>
                <w:rFonts w:hint="eastAsia" w:ascii="仿宋_GB2312" w:hAnsi="宋体" w:eastAsia="仿宋_GB2312" w:cs="仿宋"/>
                <w:b/>
                <w:bCs w:val="0"/>
                <w:color w:val="auto"/>
                <w:sz w:val="18"/>
                <w:szCs w:val="18"/>
                <w:highlight w:val="none"/>
                <w:lang w:val="en-US" w:eastAsia="zh-CN"/>
              </w:rPr>
              <w:t>1.提供详细具体的施工及检测方案：</w:t>
            </w:r>
            <w:r>
              <w:rPr>
                <w:rFonts w:hint="eastAsia" w:ascii="仿宋_GB2312" w:hAnsi="宋体" w:eastAsia="仿宋_GB2312" w:cs="仿宋"/>
                <w:bCs/>
                <w:sz w:val="18"/>
                <w:szCs w:val="18"/>
                <w:lang w:val="en-US" w:eastAsia="zh-CN"/>
              </w:rPr>
              <w:t>满分8分，</w:t>
            </w:r>
            <w:r>
              <w:rPr>
                <w:rFonts w:hint="eastAsia" w:ascii="仿宋_GB2312" w:hAnsi="宋体" w:eastAsia="仿宋_GB2312" w:cs="仿宋"/>
                <w:bCs/>
                <w:sz w:val="18"/>
                <w:szCs w:val="18"/>
              </w:rPr>
              <w:t>未提供不得分</w:t>
            </w:r>
          </w:p>
        </w:tc>
        <w:tc>
          <w:tcPr>
            <w:tcW w:w="582" w:type="dxa"/>
            <w:noWrap w:val="0"/>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default" w:ascii="仿宋_GB2312" w:hAnsi="宋体" w:eastAsia="仿宋_GB2312" w:cs="仿宋"/>
                <w:b/>
                <w:bCs w:val="0"/>
                <w:szCs w:val="21"/>
                <w:lang w:val="en-US" w:eastAsia="zh-CN"/>
              </w:rPr>
            </w:pPr>
            <w:r>
              <w:rPr>
                <w:rFonts w:hint="eastAsia" w:ascii="仿宋_GB2312" w:hAnsi="宋体" w:eastAsia="仿宋_GB2312" w:cs="仿宋"/>
                <w:b/>
                <w:bCs w:val="0"/>
                <w:szCs w:val="21"/>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4" w:type="dxa"/>
            <w:vMerge w:val="continue"/>
            <w:noWrap w:val="0"/>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仿宋_GB2312" w:hAnsi="宋体" w:eastAsia="仿宋_GB2312" w:cs="仿宋"/>
                <w:bCs/>
                <w:szCs w:val="21"/>
              </w:rPr>
            </w:pPr>
          </w:p>
        </w:tc>
        <w:tc>
          <w:tcPr>
            <w:tcW w:w="1134" w:type="dxa"/>
            <w:vMerge w:val="continue"/>
            <w:noWrap w:val="0"/>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仿宋_GB2312" w:hAnsi="宋体" w:eastAsia="仿宋_GB2312" w:cs="仿宋"/>
                <w:bCs/>
                <w:szCs w:val="21"/>
              </w:rPr>
            </w:pPr>
          </w:p>
        </w:tc>
        <w:tc>
          <w:tcPr>
            <w:tcW w:w="5801" w:type="dxa"/>
            <w:noWrap w:val="0"/>
            <w:vAlign w:val="top"/>
          </w:tcPr>
          <w:p>
            <w:pPr>
              <w:keepNext w:val="0"/>
              <w:keepLines w:val="0"/>
              <w:pageBreakBefore w:val="0"/>
              <w:widowControl w:val="0"/>
              <w:numPr>
                <w:ilvl w:val="0"/>
                <w:numId w:val="0"/>
              </w:numPr>
              <w:kinsoku/>
              <w:wordWrap/>
              <w:overflowPunct/>
              <w:topLinePunct w:val="0"/>
              <w:autoSpaceDE/>
              <w:autoSpaceDN/>
              <w:bidi w:val="0"/>
              <w:adjustRightInd/>
              <w:spacing w:before="78" w:beforeLines="25" w:after="78" w:afterLines="25" w:line="240" w:lineRule="auto"/>
              <w:textAlignment w:val="auto"/>
              <w:rPr>
                <w:rFonts w:hint="eastAsia" w:ascii="仿宋_GB2312" w:hAnsi="宋体" w:eastAsia="仿宋_GB2312" w:cs="仿宋"/>
                <w:bCs/>
                <w:sz w:val="18"/>
                <w:szCs w:val="18"/>
              </w:rPr>
            </w:pPr>
            <w:r>
              <w:rPr>
                <w:rFonts w:hint="eastAsia" w:ascii="仿宋_GB2312" w:hAnsi="宋体" w:eastAsia="仿宋_GB2312" w:cs="仿宋"/>
                <w:b/>
                <w:bCs w:val="0"/>
                <w:color w:val="auto"/>
                <w:sz w:val="18"/>
                <w:szCs w:val="18"/>
                <w:highlight w:val="none"/>
                <w:lang w:val="en-US" w:eastAsia="zh-CN"/>
              </w:rPr>
              <w:t>2.维修方案：</w:t>
            </w:r>
            <w:r>
              <w:rPr>
                <w:rFonts w:hint="eastAsia" w:ascii="仿宋_GB2312" w:hAnsi="宋体" w:eastAsia="仿宋_GB2312" w:cs="仿宋"/>
                <w:bCs/>
                <w:sz w:val="18"/>
                <w:szCs w:val="18"/>
                <w:lang w:val="en-US" w:eastAsia="zh-CN"/>
              </w:rPr>
              <w:t>满分8分，</w:t>
            </w:r>
            <w:r>
              <w:rPr>
                <w:rFonts w:hint="eastAsia" w:ascii="仿宋_GB2312" w:hAnsi="宋体" w:eastAsia="仿宋_GB2312" w:cs="仿宋"/>
                <w:bCs/>
                <w:sz w:val="18"/>
                <w:szCs w:val="18"/>
              </w:rPr>
              <w:t>未提供不得分</w:t>
            </w:r>
          </w:p>
        </w:tc>
        <w:tc>
          <w:tcPr>
            <w:tcW w:w="582" w:type="dxa"/>
            <w:noWrap w:val="0"/>
            <w:vAlign w:val="center"/>
          </w:tcPr>
          <w:p>
            <w:pPr>
              <w:keepNext w:val="0"/>
              <w:keepLines w:val="0"/>
              <w:pageBreakBefore w:val="0"/>
              <w:widowControl w:val="0"/>
              <w:kinsoku/>
              <w:wordWrap/>
              <w:overflowPunct/>
              <w:topLinePunct w:val="0"/>
              <w:autoSpaceDE/>
              <w:autoSpaceDN/>
              <w:bidi w:val="0"/>
              <w:adjustRightInd/>
              <w:spacing w:before="25" w:after="25" w:line="240" w:lineRule="auto"/>
              <w:jc w:val="center"/>
              <w:textAlignment w:val="auto"/>
              <w:rPr>
                <w:rFonts w:hint="default" w:ascii="仿宋_GB2312" w:hAnsi="宋体" w:eastAsia="仿宋_GB2312" w:cs="仿宋"/>
                <w:b/>
                <w:bCs w:val="0"/>
                <w:szCs w:val="21"/>
                <w:lang w:val="en-US" w:eastAsia="zh-CN"/>
              </w:rPr>
            </w:pPr>
            <w:r>
              <w:rPr>
                <w:rFonts w:hint="eastAsia" w:ascii="仿宋_GB2312" w:hAnsi="宋体" w:eastAsia="仿宋_GB2312" w:cs="仿宋"/>
                <w:b/>
                <w:bCs w:val="0"/>
                <w:szCs w:val="21"/>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644" w:type="dxa"/>
            <w:vMerge w:val="continue"/>
            <w:noWrap w:val="0"/>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仿宋_GB2312" w:hAnsi="宋体" w:eastAsia="仿宋_GB2312" w:cs="仿宋"/>
                <w:bCs/>
                <w:szCs w:val="21"/>
              </w:rPr>
            </w:pPr>
          </w:p>
        </w:tc>
        <w:tc>
          <w:tcPr>
            <w:tcW w:w="1134" w:type="dxa"/>
            <w:vMerge w:val="continue"/>
            <w:noWrap w:val="0"/>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仿宋_GB2312" w:hAnsi="宋体" w:eastAsia="仿宋_GB2312" w:cs="仿宋"/>
                <w:bCs/>
                <w:szCs w:val="21"/>
              </w:rPr>
            </w:pPr>
          </w:p>
        </w:tc>
        <w:tc>
          <w:tcPr>
            <w:tcW w:w="5801" w:type="dxa"/>
            <w:noWrap w:val="0"/>
            <w:vAlign w:val="top"/>
          </w:tcPr>
          <w:p>
            <w:pPr>
              <w:keepNext w:val="0"/>
              <w:keepLines w:val="0"/>
              <w:pageBreakBefore w:val="0"/>
              <w:widowControl w:val="0"/>
              <w:numPr>
                <w:ilvl w:val="0"/>
                <w:numId w:val="0"/>
              </w:numPr>
              <w:kinsoku/>
              <w:wordWrap/>
              <w:overflowPunct/>
              <w:topLinePunct w:val="0"/>
              <w:autoSpaceDE/>
              <w:autoSpaceDN/>
              <w:bidi w:val="0"/>
              <w:adjustRightInd/>
              <w:spacing w:before="78" w:beforeLines="25" w:after="78" w:afterLines="25" w:line="240" w:lineRule="auto"/>
              <w:textAlignment w:val="auto"/>
              <w:rPr>
                <w:rFonts w:hint="eastAsia" w:ascii="仿宋_GB2312" w:hAnsi="宋体" w:eastAsia="仿宋_GB2312" w:cs="仿宋"/>
                <w:bCs/>
                <w:sz w:val="18"/>
                <w:szCs w:val="18"/>
                <w:lang w:eastAsia="zh-CN"/>
              </w:rPr>
            </w:pPr>
            <w:r>
              <w:rPr>
                <w:rFonts w:hint="eastAsia" w:ascii="仿宋_GB2312" w:hAnsi="宋体" w:eastAsia="仿宋_GB2312" w:cs="仿宋"/>
                <w:b/>
                <w:bCs w:val="0"/>
                <w:color w:val="auto"/>
                <w:sz w:val="18"/>
                <w:szCs w:val="18"/>
                <w:highlight w:val="none"/>
                <w:lang w:val="en-US" w:eastAsia="zh-CN"/>
              </w:rPr>
              <w:t>3.试验进度计划表：</w:t>
            </w:r>
            <w:r>
              <w:rPr>
                <w:rFonts w:hint="eastAsia" w:ascii="仿宋_GB2312" w:hAnsi="宋体" w:eastAsia="仿宋_GB2312" w:cs="仿宋"/>
                <w:bCs/>
                <w:sz w:val="18"/>
                <w:szCs w:val="18"/>
                <w:lang w:val="en-US" w:eastAsia="zh-CN"/>
              </w:rPr>
              <w:t>满分8分，</w:t>
            </w:r>
            <w:r>
              <w:rPr>
                <w:rFonts w:hint="eastAsia" w:ascii="仿宋_GB2312" w:hAnsi="宋体" w:eastAsia="仿宋_GB2312" w:cs="仿宋"/>
                <w:bCs/>
                <w:sz w:val="18"/>
                <w:szCs w:val="18"/>
              </w:rPr>
              <w:t>未提供不得分</w:t>
            </w:r>
          </w:p>
        </w:tc>
        <w:tc>
          <w:tcPr>
            <w:tcW w:w="582" w:type="dxa"/>
            <w:noWrap w:val="0"/>
            <w:vAlign w:val="center"/>
          </w:tcPr>
          <w:p>
            <w:pPr>
              <w:keepNext w:val="0"/>
              <w:keepLines w:val="0"/>
              <w:pageBreakBefore w:val="0"/>
              <w:widowControl w:val="0"/>
              <w:kinsoku/>
              <w:wordWrap/>
              <w:overflowPunct/>
              <w:topLinePunct w:val="0"/>
              <w:autoSpaceDE/>
              <w:autoSpaceDN/>
              <w:bidi w:val="0"/>
              <w:adjustRightInd/>
              <w:spacing w:before="25" w:after="25" w:line="240" w:lineRule="auto"/>
              <w:jc w:val="center"/>
              <w:textAlignment w:val="auto"/>
              <w:rPr>
                <w:rFonts w:hint="default" w:ascii="仿宋_GB2312" w:hAnsi="宋体" w:eastAsia="仿宋_GB2312" w:cs="仿宋"/>
                <w:b/>
                <w:bCs w:val="0"/>
                <w:szCs w:val="21"/>
                <w:lang w:val="en-US" w:eastAsia="zh-CN"/>
              </w:rPr>
            </w:pPr>
            <w:r>
              <w:rPr>
                <w:rFonts w:hint="eastAsia" w:ascii="仿宋_GB2312" w:hAnsi="宋体" w:eastAsia="仿宋_GB2312" w:cs="仿宋"/>
                <w:b/>
                <w:bCs w:val="0"/>
                <w:szCs w:val="21"/>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4" w:type="dxa"/>
            <w:vMerge w:val="continue"/>
            <w:noWrap w:val="0"/>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仿宋_GB2312" w:hAnsi="宋体" w:eastAsia="仿宋_GB2312" w:cs="仿宋"/>
                <w:bCs/>
                <w:szCs w:val="21"/>
              </w:rPr>
            </w:pPr>
          </w:p>
        </w:tc>
        <w:tc>
          <w:tcPr>
            <w:tcW w:w="1134" w:type="dxa"/>
            <w:vMerge w:val="continue"/>
            <w:noWrap w:val="0"/>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仿宋_GB2312" w:hAnsi="宋体" w:eastAsia="仿宋_GB2312" w:cs="仿宋"/>
                <w:bCs/>
                <w:szCs w:val="21"/>
              </w:rPr>
            </w:pPr>
          </w:p>
        </w:tc>
        <w:tc>
          <w:tcPr>
            <w:tcW w:w="5801" w:type="dxa"/>
            <w:noWrap w:val="0"/>
            <w:vAlign w:val="top"/>
          </w:tcPr>
          <w:p>
            <w:pPr>
              <w:keepNext w:val="0"/>
              <w:keepLines w:val="0"/>
              <w:pageBreakBefore w:val="0"/>
              <w:widowControl w:val="0"/>
              <w:kinsoku/>
              <w:wordWrap/>
              <w:overflowPunct/>
              <w:topLinePunct w:val="0"/>
              <w:autoSpaceDE/>
              <w:autoSpaceDN/>
              <w:bidi w:val="0"/>
              <w:adjustRightInd/>
              <w:spacing w:before="78" w:beforeLines="25" w:after="78" w:afterLines="25" w:line="240" w:lineRule="auto"/>
              <w:textAlignment w:val="auto"/>
              <w:rPr>
                <w:rFonts w:hint="eastAsia" w:ascii="仿宋_GB2312" w:hAnsi="宋体" w:eastAsia="仿宋_GB2312" w:cs="仿宋"/>
                <w:bCs/>
                <w:sz w:val="18"/>
                <w:szCs w:val="18"/>
              </w:rPr>
            </w:pPr>
            <w:r>
              <w:rPr>
                <w:rFonts w:hint="eastAsia" w:ascii="仿宋_GB2312" w:hAnsi="宋体" w:eastAsia="仿宋_GB2312" w:cs="仿宋"/>
                <w:b/>
                <w:bCs w:val="0"/>
                <w:sz w:val="18"/>
                <w:szCs w:val="18"/>
                <w:lang w:val="en-US" w:eastAsia="zh-CN"/>
              </w:rPr>
              <w:t>4.</w:t>
            </w:r>
            <w:r>
              <w:rPr>
                <w:rFonts w:hint="eastAsia" w:ascii="仿宋_GB2312" w:hAnsi="宋体" w:eastAsia="仿宋_GB2312" w:cs="仿宋"/>
                <w:b/>
                <w:bCs w:val="0"/>
                <w:color w:val="auto"/>
                <w:sz w:val="18"/>
                <w:szCs w:val="18"/>
                <w:highlight w:val="none"/>
                <w:lang w:val="en-US" w:eastAsia="zh-CN"/>
              </w:rPr>
              <w:t>组织结构：</w:t>
            </w:r>
            <w:r>
              <w:rPr>
                <w:rFonts w:hint="eastAsia" w:ascii="仿宋_GB2312" w:hAnsi="宋体" w:eastAsia="仿宋_GB2312" w:cs="仿宋"/>
                <w:bCs/>
                <w:sz w:val="18"/>
                <w:szCs w:val="18"/>
                <w:lang w:val="en-US" w:eastAsia="zh-CN"/>
              </w:rPr>
              <w:t>满分8分，</w:t>
            </w:r>
            <w:r>
              <w:rPr>
                <w:rFonts w:hint="eastAsia" w:ascii="仿宋_GB2312" w:hAnsi="宋体" w:eastAsia="仿宋_GB2312" w:cs="仿宋"/>
                <w:bCs/>
                <w:sz w:val="18"/>
                <w:szCs w:val="18"/>
              </w:rPr>
              <w:t>未提供不得分</w:t>
            </w:r>
          </w:p>
        </w:tc>
        <w:tc>
          <w:tcPr>
            <w:tcW w:w="582" w:type="dxa"/>
            <w:noWrap w:val="0"/>
            <w:vAlign w:val="center"/>
          </w:tcPr>
          <w:p>
            <w:pPr>
              <w:keepNext w:val="0"/>
              <w:keepLines w:val="0"/>
              <w:pageBreakBefore w:val="0"/>
              <w:widowControl w:val="0"/>
              <w:kinsoku/>
              <w:wordWrap/>
              <w:overflowPunct/>
              <w:topLinePunct w:val="0"/>
              <w:autoSpaceDE/>
              <w:autoSpaceDN/>
              <w:bidi w:val="0"/>
              <w:adjustRightInd/>
              <w:spacing w:before="25" w:after="25" w:line="240" w:lineRule="auto"/>
              <w:jc w:val="center"/>
              <w:textAlignment w:val="auto"/>
              <w:rPr>
                <w:rFonts w:hint="default" w:ascii="仿宋_GB2312" w:hAnsi="宋体" w:eastAsia="仿宋_GB2312" w:cs="仿宋"/>
                <w:b/>
                <w:bCs w:val="0"/>
                <w:szCs w:val="21"/>
                <w:lang w:val="en-US" w:eastAsia="zh-CN"/>
              </w:rPr>
            </w:pPr>
            <w:r>
              <w:rPr>
                <w:rFonts w:hint="eastAsia" w:ascii="仿宋_GB2312" w:hAnsi="宋体" w:eastAsia="仿宋_GB2312" w:cs="仿宋"/>
                <w:b/>
                <w:bCs w:val="0"/>
                <w:szCs w:val="21"/>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4" w:type="dxa"/>
            <w:vMerge w:val="continue"/>
            <w:noWrap w:val="0"/>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仿宋_GB2312" w:hAnsi="宋体" w:eastAsia="仿宋_GB2312" w:cs="仿宋"/>
                <w:bCs/>
                <w:szCs w:val="21"/>
              </w:rPr>
            </w:pPr>
          </w:p>
        </w:tc>
        <w:tc>
          <w:tcPr>
            <w:tcW w:w="1134" w:type="dxa"/>
            <w:vMerge w:val="continue"/>
            <w:noWrap w:val="0"/>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仿宋_GB2312" w:hAnsi="宋体" w:eastAsia="仿宋_GB2312" w:cs="仿宋"/>
                <w:bCs/>
                <w:szCs w:val="21"/>
              </w:rPr>
            </w:pPr>
          </w:p>
        </w:tc>
        <w:tc>
          <w:tcPr>
            <w:tcW w:w="5801" w:type="dxa"/>
            <w:noWrap w:val="0"/>
            <w:vAlign w:val="top"/>
          </w:tcPr>
          <w:p>
            <w:pPr>
              <w:keepNext w:val="0"/>
              <w:keepLines w:val="0"/>
              <w:pageBreakBefore w:val="0"/>
              <w:widowControl w:val="0"/>
              <w:kinsoku/>
              <w:wordWrap/>
              <w:overflowPunct/>
              <w:topLinePunct w:val="0"/>
              <w:autoSpaceDE/>
              <w:autoSpaceDN/>
              <w:bidi w:val="0"/>
              <w:adjustRightInd/>
              <w:spacing w:before="78" w:beforeLines="25" w:after="78" w:afterLines="25" w:line="240" w:lineRule="auto"/>
              <w:textAlignment w:val="auto"/>
              <w:rPr>
                <w:rFonts w:hint="eastAsia" w:ascii="仿宋_GB2312" w:hAnsi="宋体" w:eastAsia="仿宋_GB2312" w:cs="仿宋"/>
                <w:bCs/>
                <w:sz w:val="18"/>
                <w:szCs w:val="18"/>
              </w:rPr>
            </w:pPr>
            <w:r>
              <w:rPr>
                <w:rFonts w:hint="eastAsia" w:ascii="仿宋_GB2312" w:hAnsi="宋体" w:eastAsia="仿宋_GB2312" w:cs="仿宋"/>
                <w:b/>
                <w:bCs w:val="0"/>
                <w:sz w:val="18"/>
                <w:szCs w:val="18"/>
                <w:lang w:val="en-US" w:eastAsia="zh-CN"/>
              </w:rPr>
              <w:t>5.</w:t>
            </w:r>
            <w:r>
              <w:rPr>
                <w:rFonts w:hint="eastAsia" w:ascii="仿宋_GB2312" w:hAnsi="宋体" w:eastAsia="仿宋_GB2312" w:cs="仿宋"/>
                <w:b/>
                <w:bCs w:val="0"/>
                <w:color w:val="auto"/>
                <w:sz w:val="18"/>
                <w:szCs w:val="18"/>
                <w:highlight w:val="none"/>
                <w:lang w:val="en-US" w:eastAsia="zh-CN"/>
              </w:rPr>
              <w:t>所用试验设备介绍表</w:t>
            </w:r>
            <w:r>
              <w:rPr>
                <w:rFonts w:hint="eastAsia" w:ascii="仿宋_GB2312" w:hAnsi="宋体" w:eastAsia="仿宋_GB2312" w:cs="仿宋"/>
                <w:b w:val="0"/>
                <w:bCs/>
                <w:color w:val="auto"/>
                <w:sz w:val="18"/>
                <w:szCs w:val="18"/>
                <w:highlight w:val="none"/>
                <w:lang w:val="en-US" w:eastAsia="zh-CN"/>
              </w:rPr>
              <w:t>：</w:t>
            </w:r>
            <w:r>
              <w:rPr>
                <w:rFonts w:hint="eastAsia" w:ascii="仿宋_GB2312" w:hAnsi="宋体" w:eastAsia="仿宋_GB2312" w:cs="仿宋"/>
                <w:bCs/>
                <w:sz w:val="18"/>
                <w:szCs w:val="18"/>
                <w:lang w:val="en-US" w:eastAsia="zh-CN"/>
              </w:rPr>
              <w:t>满分8分，</w:t>
            </w:r>
            <w:r>
              <w:rPr>
                <w:rFonts w:hint="eastAsia" w:ascii="仿宋_GB2312" w:hAnsi="宋体" w:eastAsia="仿宋_GB2312" w:cs="仿宋"/>
                <w:bCs/>
                <w:sz w:val="18"/>
                <w:szCs w:val="18"/>
              </w:rPr>
              <w:t>未提供不得分</w:t>
            </w:r>
          </w:p>
        </w:tc>
        <w:tc>
          <w:tcPr>
            <w:tcW w:w="582" w:type="dxa"/>
            <w:noWrap w:val="0"/>
            <w:vAlign w:val="center"/>
          </w:tcPr>
          <w:p>
            <w:pPr>
              <w:keepNext w:val="0"/>
              <w:keepLines w:val="0"/>
              <w:pageBreakBefore w:val="0"/>
              <w:widowControl w:val="0"/>
              <w:kinsoku/>
              <w:wordWrap/>
              <w:overflowPunct/>
              <w:topLinePunct w:val="0"/>
              <w:autoSpaceDE/>
              <w:autoSpaceDN/>
              <w:bidi w:val="0"/>
              <w:adjustRightInd/>
              <w:spacing w:before="25" w:after="25" w:line="240" w:lineRule="auto"/>
              <w:jc w:val="center"/>
              <w:textAlignment w:val="auto"/>
              <w:rPr>
                <w:rFonts w:hint="default" w:ascii="仿宋_GB2312" w:hAnsi="宋体" w:eastAsia="仿宋_GB2312" w:cs="仿宋"/>
                <w:b/>
                <w:bCs w:val="0"/>
                <w:szCs w:val="21"/>
                <w:lang w:val="en-US" w:eastAsia="zh-CN"/>
              </w:rPr>
            </w:pPr>
            <w:r>
              <w:rPr>
                <w:rFonts w:hint="eastAsia" w:ascii="仿宋_GB2312" w:hAnsi="宋体" w:eastAsia="仿宋_GB2312" w:cs="仿宋"/>
                <w:b/>
                <w:bCs w:val="0"/>
                <w:szCs w:val="21"/>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 w:hRule="atLeast"/>
        </w:trPr>
        <w:tc>
          <w:tcPr>
            <w:tcW w:w="644" w:type="dxa"/>
            <w:vMerge w:val="continue"/>
            <w:noWrap w:val="0"/>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仿宋_GB2312" w:hAnsi="宋体" w:eastAsia="仿宋_GB2312" w:cs="仿宋"/>
                <w:bCs/>
                <w:szCs w:val="21"/>
              </w:rPr>
            </w:pPr>
          </w:p>
        </w:tc>
        <w:tc>
          <w:tcPr>
            <w:tcW w:w="1134" w:type="dxa"/>
            <w:vMerge w:val="continue"/>
            <w:noWrap w:val="0"/>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仿宋_GB2312" w:hAnsi="宋体" w:eastAsia="仿宋_GB2312" w:cs="仿宋"/>
                <w:bCs/>
                <w:szCs w:val="21"/>
              </w:rPr>
            </w:pPr>
          </w:p>
        </w:tc>
        <w:tc>
          <w:tcPr>
            <w:tcW w:w="5801" w:type="dxa"/>
            <w:noWrap w:val="0"/>
            <w:vAlign w:val="top"/>
          </w:tcPr>
          <w:p>
            <w:pPr>
              <w:pStyle w:val="3"/>
              <w:numPr>
                <w:ilvl w:val="0"/>
                <w:numId w:val="0"/>
              </w:numPr>
              <w:tabs>
                <w:tab w:val="left" w:pos="0"/>
                <w:tab w:val="left" w:pos="993"/>
                <w:tab w:val="left" w:pos="1134"/>
              </w:tabs>
              <w:snapToGrid w:val="0"/>
              <w:spacing w:line="240" w:lineRule="auto"/>
              <w:outlineLvl w:val="9"/>
              <w:rPr>
                <w:rFonts w:hint="eastAsia" w:ascii="仿宋_GB2312" w:hAnsi="宋体" w:eastAsia="仿宋_GB2312" w:cs="仿宋"/>
                <w:bCs/>
                <w:sz w:val="18"/>
                <w:szCs w:val="18"/>
                <w:lang w:val="en-US" w:eastAsia="zh-CN"/>
              </w:rPr>
            </w:pPr>
            <w:r>
              <w:rPr>
                <w:rFonts w:hint="eastAsia" w:ascii="仿宋_GB2312" w:hAnsi="宋体" w:eastAsia="仿宋_GB2312" w:cs="仿宋"/>
                <w:b/>
                <w:bCs w:val="0"/>
                <w:color w:val="auto"/>
                <w:kern w:val="2"/>
                <w:sz w:val="18"/>
                <w:szCs w:val="18"/>
                <w:highlight w:val="none"/>
                <w:lang w:val="en-US" w:eastAsia="zh-CN" w:bidi="ar-SA"/>
              </w:rPr>
              <w:t>6.质保期：</w:t>
            </w:r>
            <w:r>
              <w:rPr>
                <w:rFonts w:hint="eastAsia" w:ascii="仿宋_GB2312" w:hAnsi="宋体" w:eastAsia="仿宋_GB2312" w:cs="仿宋"/>
                <w:b w:val="0"/>
                <w:bCs/>
                <w:color w:val="auto"/>
                <w:kern w:val="2"/>
                <w:sz w:val="18"/>
                <w:szCs w:val="18"/>
                <w:highlight w:val="none"/>
                <w:lang w:val="en-US" w:eastAsia="zh-CN" w:bidi="ar-SA"/>
              </w:rPr>
              <w:t>三年。质保要求：按照安全工器具检验周期要求，承担三年内学院南北区10kV变电所安全工器具及绝缘垫定期检验工作，提供CMA检测报告。并对学院所属变电所内出现的应急情况提供相应技术指导及支持，承担质保期间发生的一切费用及因安装质量的欠缺给甲方造成的一切损失（因甲方原因造成的除外）。满足三年得4分，每增加一年得2分。</w:t>
            </w:r>
            <w:r>
              <w:rPr>
                <w:rFonts w:hint="eastAsia" w:ascii="仿宋_GB2312" w:hAnsi="宋体" w:eastAsia="仿宋_GB2312" w:cs="仿宋"/>
                <w:bCs/>
                <w:sz w:val="18"/>
                <w:szCs w:val="18"/>
                <w:lang w:val="en-US" w:eastAsia="zh-CN"/>
              </w:rPr>
              <w:t>满分10分，不满足</w:t>
            </w:r>
            <w:r>
              <w:rPr>
                <w:rFonts w:hint="eastAsia" w:ascii="仿宋_GB2312" w:hAnsi="宋体" w:eastAsia="仿宋_GB2312" w:cs="仿宋"/>
                <w:bCs/>
                <w:sz w:val="18"/>
                <w:szCs w:val="18"/>
              </w:rPr>
              <w:t>不得分</w:t>
            </w:r>
            <w:r>
              <w:rPr>
                <w:rFonts w:hint="eastAsia" w:ascii="仿宋_GB2312" w:hAnsi="宋体" w:eastAsia="仿宋_GB2312" w:cs="仿宋"/>
                <w:bCs/>
                <w:sz w:val="18"/>
                <w:szCs w:val="18"/>
                <w:lang w:eastAsia="zh-CN"/>
              </w:rPr>
              <w:t>。</w:t>
            </w:r>
          </w:p>
        </w:tc>
        <w:tc>
          <w:tcPr>
            <w:tcW w:w="582" w:type="dxa"/>
            <w:noWrap w:val="0"/>
            <w:vAlign w:val="center"/>
          </w:tcPr>
          <w:p>
            <w:pPr>
              <w:keepNext w:val="0"/>
              <w:keepLines w:val="0"/>
              <w:pageBreakBefore w:val="0"/>
              <w:widowControl w:val="0"/>
              <w:kinsoku/>
              <w:wordWrap/>
              <w:overflowPunct/>
              <w:topLinePunct w:val="0"/>
              <w:autoSpaceDE/>
              <w:autoSpaceDN/>
              <w:bidi w:val="0"/>
              <w:adjustRightInd/>
              <w:spacing w:before="25" w:after="25" w:line="240" w:lineRule="auto"/>
              <w:jc w:val="center"/>
              <w:textAlignment w:val="auto"/>
              <w:rPr>
                <w:rFonts w:hint="default" w:ascii="仿宋_GB2312" w:hAnsi="宋体" w:eastAsia="仿宋_GB2312" w:cs="仿宋"/>
                <w:b/>
                <w:bCs w:val="0"/>
                <w:szCs w:val="21"/>
                <w:lang w:val="en-US" w:eastAsia="zh-CN"/>
              </w:rPr>
            </w:pPr>
            <w:r>
              <w:rPr>
                <w:rFonts w:hint="eastAsia" w:ascii="仿宋_GB2312" w:hAnsi="宋体" w:eastAsia="仿宋_GB2312" w:cs="仿宋"/>
                <w:b/>
                <w:bCs w:val="0"/>
                <w:szCs w:val="21"/>
                <w:lang w:val="en-US" w:eastAsia="zh-CN"/>
              </w:rPr>
              <w:t>10</w:t>
            </w:r>
          </w:p>
        </w:tc>
      </w:tr>
    </w:tbl>
    <w:p>
      <w:pPr>
        <w:pStyle w:val="3"/>
        <w:jc w:val="both"/>
        <w:rPr>
          <w:rFonts w:hint="eastAsia" w:ascii="宋体" w:hAnsi="宋体" w:eastAsia="宋体" w:cs="宋体"/>
          <w:b/>
          <w:bCs/>
          <w:color w:val="000000"/>
          <w:szCs w:val="21"/>
          <w:lang w:val="en-US" w:eastAsia="zh-CN"/>
        </w:rPr>
      </w:pPr>
    </w:p>
    <w:p>
      <w:pPr>
        <w:keepNext w:val="0"/>
        <w:keepLines w:val="0"/>
        <w:pageBreakBefore w:val="0"/>
        <w:widowControl w:val="0"/>
        <w:kinsoku/>
        <w:wordWrap/>
        <w:overflowPunct/>
        <w:topLinePunct w:val="0"/>
        <w:autoSpaceDE/>
        <w:autoSpaceDN/>
        <w:bidi w:val="0"/>
        <w:adjustRightInd/>
        <w:spacing w:line="240" w:lineRule="auto"/>
        <w:textAlignment w:val="auto"/>
      </w:pPr>
      <w:bookmarkStart w:id="5" w:name="_GoBack"/>
    </w:p>
    <w:bookmarkEnd w:id="5"/>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dlNzEwZTBkOGMyZmIyZmJlYzViZDAxY2QzODc5ZDkifQ=="/>
  </w:docVars>
  <w:rsids>
    <w:rsidRoot w:val="3F1B6339"/>
    <w:rsid w:val="185D270B"/>
    <w:rsid w:val="20711CD8"/>
    <w:rsid w:val="240864B0"/>
    <w:rsid w:val="3B852B3E"/>
    <w:rsid w:val="3F1B6339"/>
    <w:rsid w:val="540957A8"/>
    <w:rsid w:val="56717121"/>
    <w:rsid w:val="59B14A52"/>
    <w:rsid w:val="64030061"/>
    <w:rsid w:val="75DA54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iPriority="99"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lock Text"/>
    <w:basedOn w:val="1"/>
    <w:unhideWhenUsed/>
    <w:qFormat/>
    <w:uiPriority w:val="99"/>
    <w:pPr>
      <w:spacing w:after="120"/>
      <w:ind w:left="1440" w:leftChars="700" w:right="1440" w:rightChars="700"/>
    </w:pPr>
  </w:style>
  <w:style w:type="paragraph" w:styleId="3">
    <w:name w:val="Body Text"/>
    <w:basedOn w:val="1"/>
    <w:qFormat/>
    <w:uiPriority w:val="0"/>
    <w:pPr>
      <w:spacing w:after="120"/>
    </w:pPr>
    <w:rPr>
      <w:rFonts w:ascii="Calibri" w:hAnsi="Calibri" w:eastAsia="宋体" w:cs="Times New Roman"/>
      <w:szCs w:val="22"/>
    </w:rPr>
  </w:style>
  <w:style w:type="paragraph" w:styleId="4">
    <w:name w:val="footer"/>
    <w:basedOn w:val="1"/>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931</Words>
  <Characters>983</Characters>
  <Lines>0</Lines>
  <Paragraphs>0</Paragraphs>
  <TotalTime>8</TotalTime>
  <ScaleCrop>false</ScaleCrop>
  <LinksUpToDate>false</LinksUpToDate>
  <CharactersWithSpaces>985</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2023-04-25T07:19:00Z</dcterms:created>
  <dc:creator>锐意进取</dc:creator>
  <cp:lastModifiedBy>锐意进取</cp:lastModifiedBy>
  <dcterms:modified xsi:type="dcterms:W3CDTF">2023-06-23T10:24:10Z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104A5F9EBAEC47159E2A0D8696B9E989_13</vt:lpwstr>
  </property>
</Properties>
</file>