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南北区配电房检修项目相关要求</w:t>
      </w:r>
    </w:p>
    <w:p>
      <w:pPr>
        <w:snapToGrid w:val="0"/>
        <w:spacing w:line="560" w:lineRule="exact"/>
        <w:rPr>
          <w:rFonts w:ascii="仿宋_GB2312" w:eastAsia="仿宋_GB2312"/>
          <w:sz w:val="28"/>
          <w:szCs w:val="28"/>
        </w:rPr>
      </w:pPr>
    </w:p>
    <w:p>
      <w:pPr>
        <w:pStyle w:val="9"/>
        <w:numPr>
          <w:ilvl w:val="0"/>
          <w:numId w:val="1"/>
        </w:numPr>
        <w:snapToGrid w:val="0"/>
        <w:spacing w:line="480" w:lineRule="exact"/>
        <w:ind w:firstLineChars="0"/>
        <w:rPr>
          <w:rFonts w:hint="eastAsia" w:ascii="仿宋_GB2312" w:eastAsia="仿宋_GB2312"/>
          <w:sz w:val="28"/>
          <w:szCs w:val="28"/>
        </w:rPr>
      </w:pPr>
      <w:r>
        <w:rPr>
          <w:rFonts w:hint="eastAsia" w:ascii="仿宋_GB2312" w:eastAsia="仿宋_GB2312"/>
          <w:b/>
          <w:sz w:val="28"/>
          <w:szCs w:val="28"/>
        </w:rPr>
        <w:t>项目名称</w:t>
      </w:r>
      <w:r>
        <w:rPr>
          <w:rFonts w:hint="eastAsia" w:ascii="仿宋_GB2312" w:eastAsia="仿宋_GB2312"/>
          <w:sz w:val="28"/>
          <w:szCs w:val="28"/>
        </w:rPr>
        <w:t>：正德职业技术学院南北区高低压设备检测与维护工程</w:t>
      </w:r>
    </w:p>
    <w:p>
      <w:pPr>
        <w:snapToGrid w:val="0"/>
        <w:spacing w:line="480" w:lineRule="exact"/>
        <w:rPr>
          <w:rFonts w:hint="eastAsia" w:ascii="仿宋_GB2312" w:eastAsia="仿宋_GB2312"/>
          <w:sz w:val="28"/>
          <w:szCs w:val="28"/>
        </w:rPr>
      </w:pPr>
      <w:r>
        <w:rPr>
          <w:rFonts w:hint="eastAsia" w:ascii="仿宋_GB2312" w:eastAsia="仿宋_GB2312"/>
          <w:b/>
          <w:sz w:val="28"/>
          <w:szCs w:val="28"/>
        </w:rPr>
        <w:t>二、项目内容</w:t>
      </w:r>
      <w:r>
        <w:rPr>
          <w:rFonts w:hint="eastAsia" w:ascii="仿宋_GB2312" w:eastAsia="仿宋_GB2312"/>
          <w:sz w:val="28"/>
          <w:szCs w:val="28"/>
        </w:rPr>
        <w:t>：根据中华人民共和国电力行业标准《电力设备预防性试验规程》要求，现需专业单位为我院南北区配电房开展电气设备预防性试验及检修工作。</w:t>
      </w:r>
    </w:p>
    <w:p>
      <w:pPr>
        <w:widowControl/>
        <w:tabs>
          <w:tab w:val="left" w:pos="0"/>
          <w:tab w:val="left" w:pos="993"/>
          <w:tab w:val="left" w:pos="1134"/>
        </w:tabs>
        <w:snapToGrid w:val="0"/>
        <w:spacing w:line="480" w:lineRule="exact"/>
        <w:outlineLvl w:val="2"/>
        <w:rPr>
          <w:rFonts w:hint="eastAsia" w:ascii="仿宋_GB2312" w:eastAsia="仿宋_GB2312"/>
          <w:sz w:val="28"/>
          <w:szCs w:val="28"/>
        </w:rPr>
      </w:pPr>
      <w:r>
        <w:rPr>
          <w:rFonts w:hint="eastAsia" w:ascii="仿宋_GB2312" w:eastAsia="仿宋_GB2312"/>
          <w:b/>
          <w:sz w:val="28"/>
          <w:szCs w:val="28"/>
        </w:rPr>
        <w:t>三、质量标准</w:t>
      </w:r>
      <w:r>
        <w:rPr>
          <w:rFonts w:hint="eastAsia" w:ascii="仿宋_GB2312" w:eastAsia="仿宋_GB2312"/>
          <w:sz w:val="28"/>
          <w:szCs w:val="28"/>
        </w:rPr>
        <w:t>：依据《电气设备预防性试验规程》（DL/T596-2021）、《输变电设备状态检修试验规程》（DL/T 393-2010）、《输变电设备交接和状态检修试验规程》（Q/GDW-10-J206-2010）及其他相关规定，严格执行，并做好试验及记录；对不合格项目列出整改明细及建议，出具完整有效的试验报告。</w:t>
      </w:r>
    </w:p>
    <w:p>
      <w:pPr>
        <w:snapToGrid w:val="0"/>
        <w:spacing w:line="480" w:lineRule="exact"/>
        <w:rPr>
          <w:rFonts w:hint="eastAsia" w:ascii="仿宋_GB2312" w:hAnsi="仿宋" w:eastAsia="仿宋_GB2312" w:cs="仿宋"/>
          <w:b/>
          <w:bCs/>
          <w:sz w:val="28"/>
          <w:szCs w:val="28"/>
        </w:rPr>
      </w:pPr>
      <w:r>
        <w:rPr>
          <w:rFonts w:hint="eastAsia" w:ascii="仿宋_GB2312" w:hAnsi="仿宋" w:eastAsia="仿宋_GB2312" w:cs="仿宋"/>
          <w:b/>
          <w:bCs/>
          <w:sz w:val="28"/>
          <w:szCs w:val="28"/>
        </w:rPr>
        <w:t>四、投标人的特定资格要求：</w:t>
      </w:r>
    </w:p>
    <w:p>
      <w:pPr>
        <w:snapToGrid w:val="0"/>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1）投标人具备有效的电力工程施工总承包三级及以上资质或输变电工程专业承包三级及以上资质，同时具备国家能源局电力监管委员会颁发的有效的承装（修、试）电力设施许可证，许可类别和等级：承装类四级、承修类四级、承试类四级及以上（提供证明材料复印件并加盖单位公章）。</w:t>
      </w:r>
    </w:p>
    <w:p>
      <w:pPr>
        <w:snapToGrid w:val="0"/>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（2）投标人具备住房和城乡建设厅（委员会）颁发的有效的安全生产许可证（提供安全生产许可证复印件并加盖单位公章）。</w:t>
      </w:r>
    </w:p>
    <w:p>
      <w:pPr>
        <w:snapToGrid w:val="0"/>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（3）投标人须具备有效的江苏省建筑业企业信用管理手册（提供手册复印件并加盖单位公章）；</w:t>
      </w:r>
      <w:r>
        <w:rPr>
          <w:rFonts w:hint="eastAsia" w:ascii="仿宋_GB2312" w:hAnsi="仿宋" w:eastAsia="仿宋_GB2312" w:cs="仿宋"/>
          <w:sz w:val="28"/>
          <w:szCs w:val="28"/>
          <w:highlight w:val="yellow"/>
        </w:rPr>
        <w:t>投标人如为省外企业须办理资质核验备案手续，取得相应资质核验证书</w:t>
      </w:r>
      <w:r>
        <w:rPr>
          <w:rFonts w:hint="eastAsia" w:ascii="仿宋_GB2312" w:hAnsi="仿宋" w:eastAsia="仿宋_GB2312" w:cs="仿宋"/>
          <w:sz w:val="28"/>
          <w:szCs w:val="28"/>
        </w:rPr>
        <w:t>（提供相应证书复印件并加盖单位公章）。</w:t>
      </w:r>
    </w:p>
    <w:p>
      <w:pPr>
        <w:snapToGrid w:val="0"/>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（4）投标人具备自近三年来承接“电气试验或维保工程（非电力安装施工）”业绩（须提供中标通知书、合同复印件及对方联系方式并加盖单位公章）。</w:t>
      </w:r>
    </w:p>
    <w:p>
      <w:pPr>
        <w:snapToGrid w:val="0"/>
        <w:spacing w:line="480" w:lineRule="exact"/>
        <w:rPr>
          <w:rFonts w:hint="eastAsia" w:ascii="仿宋_GB2312" w:hAnsi="仿宋" w:eastAsia="仿宋_GB2312" w:cs="仿宋"/>
          <w:sz w:val="28"/>
          <w:szCs w:val="28"/>
        </w:rPr>
      </w:pPr>
      <w:r>
        <w:rPr>
          <w:rFonts w:hint="eastAsia" w:ascii="仿宋_GB2312" w:hAnsi="仿宋" w:eastAsia="仿宋_GB2312" w:cs="仿宋"/>
          <w:sz w:val="28"/>
          <w:szCs w:val="28"/>
        </w:rPr>
        <w:t>（5）投标人拟投入本项目负责人：须持有注册建造师二级（机电工程专业）及以上资格，且持有有效的安全生产考核证 (B证)（提供资格证书复印件并加盖单位公章）。</w:t>
      </w:r>
    </w:p>
    <w:p>
      <w:pPr>
        <w:snapToGrid w:val="0"/>
        <w:spacing w:line="480" w:lineRule="exact"/>
        <w:rPr>
          <w:rFonts w:hint="eastAsia" w:ascii="仿宋_GB2312" w:hAnsi="仿宋" w:eastAsia="仿宋_GB2312" w:cs="仿宋"/>
          <w:sz w:val="28"/>
          <w:szCs w:val="28"/>
        </w:rPr>
      </w:pPr>
      <w:r>
        <w:rPr>
          <w:rFonts w:hint="eastAsia" w:ascii="仿宋_GB2312" w:hAnsi="仿宋" w:eastAsia="仿宋_GB2312" w:cs="仿宋"/>
          <w:sz w:val="28"/>
          <w:szCs w:val="28"/>
        </w:rPr>
        <w:t>（6）投标人具有履行合同所必需的设备以及专业技术能力等（根据项目需求提供履行合同所必需的设备和专业技术能力的承诺书或证明材料）；</w:t>
      </w:r>
    </w:p>
    <w:p>
      <w:pPr>
        <w:snapToGrid w:val="0"/>
        <w:spacing w:line="480" w:lineRule="exact"/>
        <w:rPr>
          <w:rFonts w:hint="eastAsia" w:ascii="仿宋_GB2312" w:hAnsi="仿宋" w:eastAsia="仿宋_GB2312" w:cs="仿宋"/>
          <w:b/>
          <w:sz w:val="28"/>
          <w:szCs w:val="28"/>
        </w:rPr>
      </w:pPr>
      <w:r>
        <w:rPr>
          <w:rFonts w:hint="eastAsia" w:ascii="仿宋_GB2312" w:hAnsi="仿宋" w:eastAsia="仿宋_GB2312" w:cs="仿宋"/>
          <w:b/>
          <w:sz w:val="28"/>
          <w:szCs w:val="28"/>
        </w:rPr>
        <w:t>五、项目技术要求</w:t>
      </w:r>
    </w:p>
    <w:p>
      <w:pPr>
        <w:rPr>
          <w:rFonts w:hint="eastAsia" w:ascii="仿宋_GB2312" w:hAnsi="仿宋" w:eastAsia="仿宋_GB2312" w:cs="仿宋"/>
          <w:sz w:val="28"/>
          <w:szCs w:val="28"/>
        </w:rPr>
      </w:pPr>
      <w:r>
        <w:rPr>
          <w:rFonts w:hint="eastAsia" w:ascii="仿宋_GB2312" w:hAnsi="仿宋" w:eastAsia="仿宋_GB2312" w:cs="仿宋"/>
          <w:sz w:val="28"/>
          <w:szCs w:val="28"/>
        </w:rPr>
        <w:t>（一）项目遵循的技术规范</w:t>
      </w:r>
    </w:p>
    <w:p>
      <w:pPr>
        <w:spacing w:line="480" w:lineRule="exact"/>
        <w:ind w:firstLine="480"/>
        <w:rPr>
          <w:rFonts w:hint="eastAsia" w:ascii="仿宋_GB2312" w:hAnsi="仿宋" w:eastAsia="仿宋_GB2312" w:cs="仿宋"/>
          <w:sz w:val="28"/>
          <w:szCs w:val="28"/>
        </w:rPr>
      </w:pPr>
      <w:r>
        <w:rPr>
          <w:rFonts w:hint="eastAsia" w:ascii="仿宋_GB2312" w:hAnsi="仿宋" w:eastAsia="仿宋_GB2312" w:cs="仿宋"/>
          <w:sz w:val="28"/>
          <w:szCs w:val="28"/>
        </w:rPr>
        <w:t>1.电气设备是电力系统的核心，其运行可靠性是保障电力系统可靠运行的重要指标。在高低压电气设备的新装、检修、运行维护工作中，必须保证电气设备交接、预防性试验工作的有序开展，使电气设备的各项性能始终处于监控、掌握、管理之中，坚持预防为主，使电气设备能够长期、安全、可靠运行，防患于未然。</w:t>
      </w:r>
    </w:p>
    <w:p>
      <w:pPr>
        <w:spacing w:line="480" w:lineRule="exact"/>
        <w:ind w:firstLine="480"/>
        <w:rPr>
          <w:rFonts w:hint="eastAsia" w:ascii="仿宋_GB2312" w:hAnsi="仿宋" w:eastAsia="仿宋_GB2312" w:cs="仿宋"/>
          <w:sz w:val="28"/>
          <w:szCs w:val="28"/>
        </w:rPr>
      </w:pPr>
      <w:r>
        <w:rPr>
          <w:rFonts w:hint="eastAsia" w:ascii="仿宋_GB2312" w:hAnsi="仿宋" w:eastAsia="仿宋_GB2312" w:cs="仿宋"/>
          <w:sz w:val="28"/>
          <w:szCs w:val="28"/>
        </w:rPr>
        <w:t>2.针对各配电系统的组成结构，以及不同的设备种类，应在进行相关电气设备的状态检修试验前，对运行中的设备进行观测和分析，根据观测数据，在停电试验期间按照中华人民共和国电力行业标准—由国家能源局发布《DL/T 596—2021电力设备预防性试验规程》、中华人民共和国电力行业标准—由国家能源局发布《DL/T 393—2010输变电设备状态检修试验规程》、江苏省电力公司企业标准—由江苏省电力公司发布的《输变电设备交接和状态检修试验规程》（Q/GDW-10-J206-2010）对高低压电气设备进行例行状态检修试验；同时在后续维保期间，按照中华人民共和国国家标准—由国家市场监督管理总局及中国国家标准化管理委员会发布《GB/T7354—2018高电压试验技术 局部放电测量》及电气设备的运行情况，有针对性的进行维护保养，以彻底的了解设备的运行情况，降低在未来期间发生重大故障的可能性。</w:t>
      </w:r>
    </w:p>
    <w:p>
      <w:pPr>
        <w:spacing w:line="480" w:lineRule="exact"/>
        <w:ind w:firstLine="480"/>
        <w:rPr>
          <w:rFonts w:hint="eastAsia" w:ascii="仿宋_GB2312" w:hAnsi="仿宋" w:eastAsia="仿宋_GB2312" w:cs="仿宋"/>
          <w:sz w:val="28"/>
          <w:szCs w:val="28"/>
        </w:rPr>
      </w:pPr>
      <w:r>
        <w:rPr>
          <w:rFonts w:hint="eastAsia" w:ascii="仿宋_GB2312" w:hAnsi="仿宋" w:eastAsia="仿宋_GB2312" w:cs="仿宋"/>
          <w:sz w:val="28"/>
          <w:szCs w:val="28"/>
        </w:rPr>
        <w:t>3.本项目须按照“中华人民共和国电力行业标准—由国家能源局发布《DL/T 596—2021电力设备预防性试验规程》、中华人民共和国电力行业标准—由国家能源局发布《DL/T 393—2010输变电设备状态检修试验规程》、江苏省电力公司企业标准—由江苏省电力公司发布的《输变电设备交接和状态检修试验规程》（Q/GDW-10-J206-2010）”执行（须提供承诺书，格式自拟，否则视为无效标）。</w:t>
      </w:r>
    </w:p>
    <w:p>
      <w:pPr>
        <w:rPr>
          <w:rFonts w:hint="eastAsia" w:ascii="仿宋_GB2312" w:hAnsi="仿宋" w:eastAsia="仿宋_GB2312" w:cs="仿宋"/>
          <w:sz w:val="28"/>
          <w:szCs w:val="28"/>
        </w:rPr>
      </w:pPr>
      <w:r>
        <w:rPr>
          <w:rFonts w:hint="eastAsia" w:ascii="仿宋_GB2312" w:hAnsi="仿宋" w:eastAsia="仿宋_GB2312" w:cs="仿宋"/>
          <w:sz w:val="28"/>
          <w:szCs w:val="28"/>
        </w:rPr>
        <w:t>（二）技术要求</w:t>
      </w:r>
    </w:p>
    <w:p>
      <w:pPr>
        <w:spacing w:line="480" w:lineRule="exact"/>
        <w:ind w:firstLine="480"/>
        <w:rPr>
          <w:rFonts w:hint="eastAsia" w:ascii="仿宋_GB2312" w:hAnsi="仿宋" w:eastAsia="仿宋_GB2312" w:cs="仿宋"/>
          <w:bCs/>
          <w:sz w:val="28"/>
          <w:szCs w:val="28"/>
        </w:rPr>
      </w:pPr>
      <w:r>
        <w:rPr>
          <w:rFonts w:hint="eastAsia" w:ascii="仿宋_GB2312" w:hAnsi="仿宋" w:eastAsia="仿宋_GB2312" w:cs="仿宋"/>
          <w:bCs/>
          <w:sz w:val="28"/>
          <w:szCs w:val="28"/>
        </w:rPr>
        <w:t>1．预防性试验技术要求：</w:t>
      </w:r>
    </w:p>
    <w:p>
      <w:pPr>
        <w:widowControl/>
        <w:tabs>
          <w:tab w:val="left" w:pos="0"/>
          <w:tab w:val="left" w:pos="993"/>
          <w:tab w:val="left" w:pos="1134"/>
        </w:tabs>
        <w:spacing w:line="48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（1）高压中置柜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237"/>
        <w:gridCol w:w="4264"/>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1" w:type="dxa"/>
            <w:vAlign w:val="center"/>
          </w:tcPr>
          <w:p>
            <w:pPr>
              <w:jc w:val="center"/>
              <w:rPr>
                <w:rFonts w:hint="eastAsia" w:ascii="仿宋_GB2312" w:hAnsi="仿宋" w:eastAsia="仿宋_GB2312" w:cs="仿宋"/>
              </w:rPr>
            </w:pPr>
            <w:r>
              <w:rPr>
                <w:rFonts w:hint="eastAsia" w:ascii="仿宋_GB2312" w:hAnsi="仿宋" w:eastAsia="仿宋_GB2312" w:cs="仿宋"/>
              </w:rPr>
              <w:t>序号</w:t>
            </w:r>
          </w:p>
        </w:tc>
        <w:tc>
          <w:tcPr>
            <w:tcW w:w="2237"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59"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电流互感器</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DL/T569-2021《电力设备预防性试验规程》8.1条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☆绕组直流电阻试验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color w:val="000000"/>
                <w:sz w:val="18"/>
                <w:szCs w:val="18"/>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☆接线组别和极性检查</w:t>
            </w:r>
          </w:p>
        </w:tc>
        <w:tc>
          <w:tcPr>
            <w:tcW w:w="1759" w:type="dxa"/>
            <w:vMerge w:val="continue"/>
            <w:vAlign w:val="center"/>
          </w:tcPr>
          <w:p>
            <w:pPr>
              <w:jc w:val="center"/>
              <w:rPr>
                <w:rFonts w:hint="eastAsia" w:ascii="仿宋_GB2312" w:hAnsi="仿宋" w:eastAsia="仿宋_GB2312"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☆变比误差测量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☆励磁特性曲线测量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2</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电压互感器</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DL/T569-2021《电力设备预防性试验规程》8.2条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☆绕组直流电阻试验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☆接线组别和极性检查</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☆变比误差测量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☆空载电流测量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3</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真空断路器</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DL/T569-2021《电力设备预防性试验规程》9.5条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☆断路器特性试验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★回路电阻试验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★分合闸线圈电阻测量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4</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氧化锌避雷器</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★直流参考电压和0.75倍下的泄露电流测量</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☆底座绝缘电阻</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☆检查放电计数器动作情况</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5</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套管</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DL/T569-2021《电力设备预防性试验规程》11条、12条、17条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6</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绝缘子</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7</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母线</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8</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高压开关柜</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☆辅助回路和控制回路绝缘电阻</w:t>
            </w:r>
          </w:p>
        </w:tc>
        <w:tc>
          <w:tcPr>
            <w:tcW w:w="1759"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DL/T569-2021《电力设备预防性试验规程》9.10条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☆导电回路电阻试验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★检查电压抽取(带电显示)装置</w:t>
            </w:r>
          </w:p>
        </w:tc>
        <w:tc>
          <w:tcPr>
            <w:tcW w:w="1759"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☆五防性能检查</w:t>
            </w:r>
          </w:p>
        </w:tc>
        <w:tc>
          <w:tcPr>
            <w:tcW w:w="1759" w:type="dxa"/>
            <w:vMerge w:val="continue"/>
            <w:vAlign w:val="center"/>
          </w:tcPr>
          <w:p>
            <w:pPr>
              <w:jc w:val="center"/>
              <w:rPr>
                <w:rFonts w:hint="eastAsia" w:ascii="仿宋_GB2312" w:hAnsi="仿宋" w:eastAsia="仿宋_GB2312" w:cs="仿宋"/>
              </w:rPr>
            </w:pPr>
          </w:p>
        </w:tc>
      </w:tr>
    </w:tbl>
    <w:p>
      <w:pPr>
        <w:rPr>
          <w:rFonts w:hint="eastAsia" w:ascii="仿宋_GB2312" w:hAnsi="仿宋" w:eastAsia="仿宋_GB2312" w:cs="仿宋"/>
        </w:rPr>
      </w:pPr>
      <w:r>
        <w:rPr>
          <w:rFonts w:hint="eastAsia" w:ascii="仿宋_GB2312" w:hAnsi="仿宋" w:eastAsia="仿宋_GB2312" w:cs="仿宋"/>
        </w:rPr>
        <w:t xml:space="preserve"> </w:t>
      </w:r>
    </w:p>
    <w:p>
      <w:pPr>
        <w:widowControl/>
        <w:tabs>
          <w:tab w:val="left" w:pos="0"/>
          <w:tab w:val="left" w:pos="993"/>
          <w:tab w:val="left" w:pos="1134"/>
        </w:tabs>
        <w:spacing w:line="500" w:lineRule="exact"/>
        <w:ind w:firstLine="480" w:firstLineChars="200"/>
        <w:outlineLvl w:val="2"/>
        <w:rPr>
          <w:rFonts w:hint="eastAsia" w:ascii="仿宋_GB2312" w:hAnsi="仿宋" w:eastAsia="仿宋_GB2312" w:cs="仿宋"/>
          <w:kern w:val="0"/>
          <w:sz w:val="24"/>
        </w:rPr>
      </w:pPr>
      <w:r>
        <w:rPr>
          <w:rFonts w:hint="eastAsia" w:ascii="仿宋_GB2312" w:hAnsi="仿宋" w:eastAsia="仿宋_GB2312" w:cs="仿宋"/>
          <w:kern w:val="0"/>
          <w:sz w:val="24"/>
        </w:rPr>
        <w:t>（2）高压环网柜</w:t>
      </w:r>
    </w:p>
    <w:tbl>
      <w:tblPr>
        <w:tblStyle w:val="6"/>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237"/>
        <w:gridCol w:w="4264"/>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71" w:type="dxa"/>
            <w:vAlign w:val="center"/>
          </w:tcPr>
          <w:p>
            <w:pPr>
              <w:rPr>
                <w:rFonts w:hint="eastAsia" w:ascii="仿宋_GB2312" w:hAnsi="仿宋" w:eastAsia="仿宋_GB2312" w:cs="仿宋"/>
              </w:rPr>
            </w:pPr>
            <w:r>
              <w:rPr>
                <w:rFonts w:hint="eastAsia" w:ascii="仿宋_GB2312" w:hAnsi="仿宋" w:eastAsia="仿宋_GB2312" w:cs="仿宋"/>
              </w:rPr>
              <w:t>序号</w:t>
            </w:r>
          </w:p>
        </w:tc>
        <w:tc>
          <w:tcPr>
            <w:tcW w:w="2237"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65"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37" w:type="dxa"/>
            <w:vMerge w:val="restart"/>
            <w:vAlign w:val="center"/>
          </w:tcPr>
          <w:p>
            <w:pPr>
              <w:jc w:val="center"/>
              <w:rPr>
                <w:rFonts w:hint="eastAsia" w:ascii="仿宋_GB2312" w:hAnsi="仿宋" w:eastAsia="仿宋_GB2312" w:cs="仿宋"/>
                <w:sz w:val="24"/>
              </w:rPr>
            </w:pPr>
            <w:r>
              <w:rPr>
                <w:rFonts w:hint="eastAsia" w:ascii="仿宋_GB2312" w:hAnsi="仿宋" w:eastAsia="仿宋_GB2312" w:cs="仿宋"/>
                <w:sz w:val="24"/>
              </w:rPr>
              <w:t>★</w:t>
            </w:r>
            <w:r>
              <w:rPr>
                <w:rFonts w:hint="eastAsia" w:ascii="仿宋_GB2312" w:hAnsi="仿宋" w:eastAsia="仿宋_GB2312" w:cs="仿宋"/>
              </w:rPr>
              <w:t>负荷开关</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6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DL/T569-2021《电力设备预防性试验规程》9.8条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sz w:val="24"/>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sz w:val="24"/>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★回路电阻试验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sz w:val="24"/>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★操动机构线圈动作电压</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sz w:val="24"/>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★操动机构检查</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2</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氧化锌避雷器</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6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★直流参考电压和0.75倍下的泄露电流测量</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☆底座绝缘电阻</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☆检查放电计数器动作情况</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3</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套管</w:t>
            </w: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6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DL/T569-2021《电力设备预防性试验规程》11条、12条、17条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4</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绝缘子</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5</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母线</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6</w:t>
            </w:r>
          </w:p>
        </w:tc>
        <w:tc>
          <w:tcPr>
            <w:tcW w:w="2237"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高压环网柜</w:t>
            </w: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☆辅助回路和控制回路的绝缘电阻试验</w:t>
            </w:r>
          </w:p>
        </w:tc>
        <w:tc>
          <w:tcPr>
            <w:tcW w:w="176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DL/T569-2021《电力设备预防性试验规程》9.1条/9.2条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☆导电回路电阻试验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★检查电压抽取（带电显示）装置</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☆检查压力表及密度继电器校验</w:t>
            </w:r>
          </w:p>
        </w:tc>
        <w:tc>
          <w:tcPr>
            <w:tcW w:w="176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1" w:type="dxa"/>
            <w:vMerge w:val="continue"/>
            <w:vAlign w:val="center"/>
          </w:tcPr>
          <w:p>
            <w:pPr>
              <w:jc w:val="center"/>
              <w:rPr>
                <w:rFonts w:hint="eastAsia" w:ascii="仿宋_GB2312" w:hAnsi="仿宋" w:eastAsia="仿宋_GB2312" w:cs="仿宋"/>
              </w:rPr>
            </w:pPr>
          </w:p>
        </w:tc>
        <w:tc>
          <w:tcPr>
            <w:tcW w:w="2237" w:type="dxa"/>
            <w:vMerge w:val="continue"/>
            <w:vAlign w:val="center"/>
          </w:tcPr>
          <w:p>
            <w:pPr>
              <w:jc w:val="center"/>
              <w:rPr>
                <w:rFonts w:hint="eastAsia" w:ascii="仿宋_GB2312" w:hAnsi="仿宋" w:eastAsia="仿宋_GB2312" w:cs="仿宋"/>
              </w:rPr>
            </w:pPr>
          </w:p>
        </w:tc>
        <w:tc>
          <w:tcPr>
            <w:tcW w:w="4264"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☆五防性能检查</w:t>
            </w:r>
          </w:p>
        </w:tc>
        <w:tc>
          <w:tcPr>
            <w:tcW w:w="1765" w:type="dxa"/>
            <w:vMerge w:val="continue"/>
            <w:vAlign w:val="center"/>
          </w:tcPr>
          <w:p>
            <w:pPr>
              <w:jc w:val="center"/>
              <w:rPr>
                <w:rFonts w:hint="eastAsia" w:ascii="仿宋_GB2312" w:hAnsi="仿宋" w:eastAsia="仿宋_GB2312" w:cs="仿宋"/>
              </w:rPr>
            </w:pPr>
          </w:p>
        </w:tc>
      </w:tr>
    </w:tbl>
    <w:p>
      <w:pPr>
        <w:rPr>
          <w:rFonts w:hint="eastAsia" w:ascii="仿宋_GB2312" w:hAnsi="仿宋" w:eastAsia="仿宋_GB2312" w:cs="仿宋"/>
        </w:rPr>
      </w:pPr>
      <w:r>
        <w:rPr>
          <w:rFonts w:hint="eastAsia" w:ascii="仿宋_GB2312" w:hAnsi="仿宋" w:eastAsia="仿宋_GB2312" w:cs="仿宋"/>
        </w:rPr>
        <w:t xml:space="preserve">  </w:t>
      </w:r>
    </w:p>
    <w:p>
      <w:pPr>
        <w:widowControl/>
        <w:tabs>
          <w:tab w:val="left" w:pos="0"/>
          <w:tab w:val="left" w:pos="993"/>
          <w:tab w:val="left" w:pos="1134"/>
        </w:tabs>
        <w:spacing w:line="500" w:lineRule="exact"/>
        <w:ind w:firstLine="480" w:firstLineChars="200"/>
        <w:outlineLvl w:val="2"/>
        <w:rPr>
          <w:rFonts w:hint="eastAsia" w:ascii="仿宋_GB2312" w:hAnsi="仿宋" w:eastAsia="仿宋_GB2312" w:cs="仿宋"/>
          <w:kern w:val="0"/>
          <w:sz w:val="24"/>
        </w:rPr>
      </w:pPr>
      <w:r>
        <w:rPr>
          <w:rFonts w:hint="eastAsia" w:ascii="仿宋_GB2312" w:hAnsi="仿宋" w:eastAsia="仿宋_GB2312" w:cs="仿宋"/>
          <w:kern w:val="0"/>
          <w:sz w:val="24"/>
        </w:rPr>
        <w:t>（3）干式变压器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235"/>
        <w:gridCol w:w="4260"/>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7" w:type="dxa"/>
            <w:vAlign w:val="center"/>
          </w:tcPr>
          <w:p>
            <w:pPr>
              <w:jc w:val="center"/>
              <w:rPr>
                <w:rFonts w:hint="eastAsia" w:ascii="仿宋_GB2312" w:hAnsi="仿宋" w:eastAsia="仿宋_GB2312" w:cs="仿宋"/>
              </w:rPr>
            </w:pPr>
            <w:r>
              <w:rPr>
                <w:rFonts w:hint="eastAsia" w:ascii="仿宋_GB2312" w:hAnsi="仿宋" w:eastAsia="仿宋_GB2312" w:cs="仿宋"/>
              </w:rPr>
              <w:t>序号</w:t>
            </w:r>
          </w:p>
        </w:tc>
        <w:tc>
          <w:tcPr>
            <w:tcW w:w="2235"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60"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35"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干式变压器</w:t>
            </w: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60"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DL/T569-2021《电力设备预防性试验规程》6.2条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电压比及组别试验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★直流电阻试验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★绕组泄漏电流试验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空、负载损耗试验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w:t>
            </w:r>
            <w:r>
              <w:rPr>
                <w:rFonts w:hint="eastAsia" w:ascii="仿宋_GB2312" w:hAnsi="仿宋" w:eastAsia="仿宋_GB2312" w:cs="仿宋"/>
              </w:rPr>
              <w:t>测温装置及其二次回路试验</w:t>
            </w:r>
          </w:p>
        </w:tc>
        <w:tc>
          <w:tcPr>
            <w:tcW w:w="176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3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w:t>
            </w:r>
            <w:r>
              <w:rPr>
                <w:rFonts w:hint="eastAsia" w:ascii="仿宋_GB2312" w:hAnsi="仿宋" w:eastAsia="仿宋_GB2312" w:cs="仿宋"/>
              </w:rPr>
              <w:t>接地系统试验</w:t>
            </w:r>
          </w:p>
        </w:tc>
        <w:tc>
          <w:tcPr>
            <w:tcW w:w="1760" w:type="dxa"/>
            <w:vMerge w:val="continue"/>
            <w:vAlign w:val="center"/>
          </w:tcPr>
          <w:p>
            <w:pPr>
              <w:jc w:val="center"/>
              <w:rPr>
                <w:rFonts w:hint="eastAsia" w:ascii="仿宋_GB2312" w:hAnsi="仿宋" w:eastAsia="仿宋_GB2312" w:cs="仿宋"/>
              </w:rPr>
            </w:pPr>
          </w:p>
        </w:tc>
      </w:tr>
    </w:tbl>
    <w:p>
      <w:pPr>
        <w:rPr>
          <w:rFonts w:hint="eastAsia" w:ascii="仿宋_GB2312" w:hAnsi="仿宋" w:eastAsia="仿宋_GB2312" w:cs="仿宋"/>
        </w:rPr>
      </w:pPr>
    </w:p>
    <w:p>
      <w:pPr>
        <w:widowControl/>
        <w:tabs>
          <w:tab w:val="left" w:pos="0"/>
          <w:tab w:val="left" w:pos="993"/>
          <w:tab w:val="left" w:pos="1134"/>
        </w:tabs>
        <w:spacing w:line="500" w:lineRule="exact"/>
        <w:ind w:firstLine="480" w:firstLineChars="200"/>
        <w:outlineLvl w:val="2"/>
        <w:rPr>
          <w:rFonts w:hint="eastAsia" w:ascii="仿宋_GB2312" w:hAnsi="仿宋" w:eastAsia="仿宋_GB2312" w:cs="仿宋"/>
          <w:kern w:val="0"/>
          <w:sz w:val="24"/>
        </w:rPr>
      </w:pPr>
      <w:r>
        <w:rPr>
          <w:rFonts w:hint="eastAsia" w:ascii="仿宋_GB2312" w:hAnsi="仿宋" w:eastAsia="仿宋_GB2312" w:cs="仿宋"/>
          <w:kern w:val="0"/>
          <w:sz w:val="24"/>
        </w:rPr>
        <w:t>（4）电力电缆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265"/>
        <w:gridCol w:w="4260"/>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2" w:type="dxa"/>
            <w:vAlign w:val="center"/>
          </w:tcPr>
          <w:p>
            <w:pPr>
              <w:jc w:val="center"/>
              <w:rPr>
                <w:rFonts w:hint="eastAsia" w:ascii="仿宋_GB2312" w:hAnsi="仿宋" w:eastAsia="仿宋_GB2312" w:cs="仿宋"/>
              </w:rPr>
            </w:pPr>
            <w:r>
              <w:rPr>
                <w:rFonts w:hint="eastAsia" w:ascii="仿宋_GB2312" w:hAnsi="仿宋" w:eastAsia="仿宋_GB2312" w:cs="仿宋"/>
              </w:rPr>
              <w:t>序号</w:t>
            </w:r>
          </w:p>
        </w:tc>
        <w:tc>
          <w:tcPr>
            <w:tcW w:w="2265"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30"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65"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高压电缆</w:t>
            </w: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★电缆主绝缘绝缘电阻试验</w:t>
            </w:r>
          </w:p>
        </w:tc>
        <w:tc>
          <w:tcPr>
            <w:tcW w:w="1730"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6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★电缆外护套绝缘电阻试验</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6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★电缆内衬层绝缘电阻试验</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6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电缆主绝缘直流耐压试验</w:t>
            </w:r>
          </w:p>
        </w:tc>
        <w:tc>
          <w:tcPr>
            <w:tcW w:w="1730" w:type="dxa"/>
            <w:vAlign w:val="center"/>
          </w:tcPr>
          <w:p>
            <w:pPr>
              <w:jc w:val="center"/>
              <w:rPr>
                <w:rFonts w:hint="eastAsia" w:ascii="仿宋_GB2312" w:hAnsi="仿宋" w:eastAsia="仿宋_GB2312" w:cs="仿宋"/>
              </w:rPr>
            </w:pPr>
            <w:r>
              <w:rPr>
                <w:rFonts w:hint="eastAsia" w:ascii="仿宋_GB2312" w:hAnsi="仿宋" w:eastAsia="仿宋_GB2312" w:cs="仿宋"/>
              </w:rPr>
              <w:t>0.1Hz超低频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65" w:type="dxa"/>
            <w:vMerge w:val="continue"/>
            <w:vAlign w:val="center"/>
          </w:tcPr>
          <w:p>
            <w:pPr>
              <w:jc w:val="center"/>
              <w:rPr>
                <w:rFonts w:hint="eastAsia" w:ascii="仿宋_GB2312" w:hAnsi="仿宋" w:eastAsia="仿宋_GB2312" w:cs="仿宋"/>
              </w:rPr>
            </w:pPr>
          </w:p>
        </w:tc>
        <w:tc>
          <w:tcPr>
            <w:tcW w:w="4260" w:type="dxa"/>
            <w:vAlign w:val="center"/>
          </w:tcPr>
          <w:p>
            <w:pPr>
              <w:jc w:val="center"/>
              <w:rPr>
                <w:rFonts w:hint="eastAsia" w:ascii="仿宋_GB2312" w:hAnsi="仿宋" w:eastAsia="仿宋_GB2312" w:cs="仿宋"/>
              </w:rPr>
            </w:pPr>
            <w:r>
              <w:rPr>
                <w:rFonts w:hint="eastAsia" w:ascii="仿宋_GB2312" w:hAnsi="仿宋" w:eastAsia="仿宋_GB2312" w:cs="仿宋"/>
                <w:szCs w:val="21"/>
              </w:rPr>
              <w:t>交流耐压试验</w:t>
            </w:r>
          </w:p>
        </w:tc>
        <w:tc>
          <w:tcPr>
            <w:tcW w:w="1730" w:type="dxa"/>
            <w:vAlign w:val="center"/>
          </w:tcPr>
          <w:p>
            <w:pPr>
              <w:jc w:val="center"/>
              <w:rPr>
                <w:rFonts w:hint="eastAsia" w:ascii="仿宋_GB2312" w:hAnsi="仿宋" w:eastAsia="仿宋_GB2312" w:cs="仿宋"/>
              </w:rPr>
            </w:pPr>
            <w:r>
              <w:rPr>
                <w:rFonts w:hint="eastAsia" w:ascii="仿宋_GB2312" w:hAnsi="仿宋" w:eastAsia="仿宋_GB2312" w:cs="仿宋"/>
              </w:rPr>
              <w:t>串联谐振</w:t>
            </w:r>
          </w:p>
        </w:tc>
      </w:tr>
    </w:tbl>
    <w:p>
      <w:pPr>
        <w:rPr>
          <w:rFonts w:hint="eastAsia" w:ascii="仿宋_GB2312" w:hAnsi="仿宋" w:eastAsia="仿宋_GB2312" w:cs="仿宋"/>
        </w:rPr>
      </w:pPr>
    </w:p>
    <w:p>
      <w:pPr>
        <w:widowControl/>
        <w:tabs>
          <w:tab w:val="left" w:pos="0"/>
          <w:tab w:val="left" w:pos="993"/>
          <w:tab w:val="left" w:pos="1134"/>
        </w:tabs>
        <w:spacing w:line="500" w:lineRule="exact"/>
        <w:ind w:firstLine="480" w:firstLineChars="200"/>
        <w:outlineLvl w:val="2"/>
        <w:rPr>
          <w:rFonts w:hint="eastAsia" w:ascii="仿宋_GB2312" w:hAnsi="仿宋" w:eastAsia="仿宋_GB2312" w:cs="仿宋"/>
          <w:kern w:val="0"/>
          <w:sz w:val="24"/>
        </w:rPr>
      </w:pPr>
      <w:r>
        <w:rPr>
          <w:rFonts w:hint="eastAsia" w:ascii="仿宋_GB2312" w:hAnsi="仿宋" w:eastAsia="仿宋_GB2312" w:cs="仿宋"/>
          <w:kern w:val="0"/>
          <w:sz w:val="24"/>
        </w:rPr>
        <w:t>（5）直流屏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295"/>
        <w:gridCol w:w="4245"/>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2" w:type="dxa"/>
            <w:vAlign w:val="center"/>
          </w:tcPr>
          <w:p>
            <w:pPr>
              <w:jc w:val="center"/>
              <w:rPr>
                <w:rFonts w:hint="eastAsia" w:ascii="仿宋_GB2312" w:hAnsi="仿宋" w:eastAsia="仿宋_GB2312" w:cs="仿宋"/>
              </w:rPr>
            </w:pPr>
            <w:r>
              <w:rPr>
                <w:rFonts w:hint="eastAsia" w:ascii="仿宋_GB2312" w:hAnsi="仿宋" w:eastAsia="仿宋_GB2312" w:cs="仿宋"/>
              </w:rPr>
              <w:t>序号</w:t>
            </w:r>
          </w:p>
        </w:tc>
        <w:tc>
          <w:tcPr>
            <w:tcW w:w="2295"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45"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30"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直流屏</w:t>
            </w:r>
          </w:p>
        </w:tc>
        <w:tc>
          <w:tcPr>
            <w:tcW w:w="4245"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30"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DL/T569-2021《电力设备预防性试验规程》18.1条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rPr>
            </w:pPr>
            <w:r>
              <w:rPr>
                <w:rFonts w:hint="eastAsia" w:ascii="仿宋_GB2312" w:hAnsi="仿宋" w:eastAsia="仿宋_GB2312" w:cs="仿宋"/>
                <w:szCs w:val="21"/>
              </w:rPr>
              <w:t>电池组容量测试</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蓄电池放电终止电压测试</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rPr>
            </w:pPr>
            <w:r>
              <w:rPr>
                <w:rFonts w:hint="eastAsia" w:ascii="仿宋_GB2312" w:hAnsi="仿宋" w:eastAsia="仿宋_GB2312" w:cs="仿宋"/>
                <w:szCs w:val="21"/>
              </w:rPr>
              <w:t>闪光系统检查</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绝缘监察系统检查</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电压监视系统检查</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光字牌检查</w:t>
            </w:r>
          </w:p>
        </w:tc>
        <w:tc>
          <w:tcPr>
            <w:tcW w:w="1730"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45" w:type="dxa"/>
            <w:vAlign w:val="center"/>
          </w:tcPr>
          <w:p>
            <w:pPr>
              <w:jc w:val="center"/>
              <w:rPr>
                <w:rFonts w:hint="eastAsia" w:ascii="仿宋_GB2312" w:hAnsi="仿宋" w:eastAsia="仿宋_GB2312" w:cs="仿宋"/>
              </w:rPr>
            </w:pPr>
            <w:r>
              <w:rPr>
                <w:rFonts w:hint="eastAsia" w:ascii="仿宋_GB2312" w:hAnsi="仿宋" w:eastAsia="仿宋_GB2312" w:cs="仿宋"/>
                <w:szCs w:val="21"/>
              </w:rPr>
              <w:t>声响检查</w:t>
            </w:r>
          </w:p>
        </w:tc>
        <w:tc>
          <w:tcPr>
            <w:tcW w:w="1730" w:type="dxa"/>
            <w:vMerge w:val="continue"/>
            <w:vAlign w:val="center"/>
          </w:tcPr>
          <w:p>
            <w:pPr>
              <w:jc w:val="center"/>
              <w:rPr>
                <w:rFonts w:hint="eastAsia" w:ascii="仿宋_GB2312" w:hAnsi="仿宋" w:eastAsia="仿宋_GB2312" w:cs="仿宋"/>
              </w:rPr>
            </w:pPr>
          </w:p>
        </w:tc>
      </w:tr>
    </w:tbl>
    <w:p>
      <w:pPr>
        <w:rPr>
          <w:rFonts w:hint="eastAsia" w:ascii="仿宋_GB2312" w:hAnsi="仿宋" w:eastAsia="仿宋_GB2312" w:cs="仿宋"/>
        </w:rPr>
      </w:pPr>
    </w:p>
    <w:p>
      <w:pPr>
        <w:widowControl/>
        <w:tabs>
          <w:tab w:val="left" w:pos="0"/>
          <w:tab w:val="left" w:pos="993"/>
          <w:tab w:val="left" w:pos="1134"/>
        </w:tabs>
        <w:spacing w:line="500" w:lineRule="exact"/>
        <w:ind w:firstLine="480" w:firstLineChars="200"/>
        <w:outlineLvl w:val="2"/>
        <w:rPr>
          <w:rFonts w:hint="eastAsia" w:ascii="仿宋_GB2312" w:hAnsi="仿宋" w:eastAsia="仿宋_GB2312" w:cs="仿宋"/>
          <w:kern w:val="0"/>
          <w:sz w:val="24"/>
        </w:rPr>
      </w:pPr>
      <w:r>
        <w:rPr>
          <w:rFonts w:hint="eastAsia" w:ascii="仿宋_GB2312" w:hAnsi="仿宋" w:eastAsia="仿宋_GB2312" w:cs="仿宋"/>
          <w:kern w:val="0"/>
          <w:sz w:val="24"/>
        </w:rPr>
        <w:t>（6）低压柜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295"/>
        <w:gridCol w:w="4230"/>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7" w:type="dxa"/>
            <w:vAlign w:val="center"/>
          </w:tcPr>
          <w:p>
            <w:pPr>
              <w:jc w:val="center"/>
              <w:rPr>
                <w:rFonts w:hint="eastAsia" w:ascii="仿宋_GB2312" w:hAnsi="仿宋" w:eastAsia="仿宋_GB2312" w:cs="仿宋"/>
              </w:rPr>
            </w:pPr>
            <w:r>
              <w:rPr>
                <w:rFonts w:hint="eastAsia" w:ascii="仿宋_GB2312" w:hAnsi="仿宋" w:eastAsia="仿宋_GB2312" w:cs="仿宋"/>
              </w:rPr>
              <w:t>序号</w:t>
            </w:r>
          </w:p>
        </w:tc>
        <w:tc>
          <w:tcPr>
            <w:tcW w:w="2295" w:type="dxa"/>
            <w:vAlign w:val="center"/>
          </w:tcPr>
          <w:p>
            <w:pPr>
              <w:jc w:val="center"/>
              <w:rPr>
                <w:rFonts w:hint="eastAsia" w:ascii="仿宋_GB2312" w:hAnsi="仿宋" w:eastAsia="仿宋_GB2312" w:cs="仿宋"/>
              </w:rPr>
            </w:pPr>
            <w:r>
              <w:rPr>
                <w:rFonts w:hint="eastAsia" w:ascii="仿宋_GB2312" w:hAnsi="仿宋" w:eastAsia="仿宋_GB2312" w:cs="仿宋"/>
              </w:rPr>
              <w:t>项目</w:t>
            </w:r>
          </w:p>
        </w:tc>
        <w:tc>
          <w:tcPr>
            <w:tcW w:w="4230" w:type="dxa"/>
            <w:vAlign w:val="center"/>
          </w:tcPr>
          <w:p>
            <w:pPr>
              <w:jc w:val="center"/>
              <w:rPr>
                <w:rFonts w:hint="eastAsia" w:ascii="仿宋_GB2312" w:hAnsi="仿宋" w:eastAsia="仿宋_GB2312" w:cs="仿宋"/>
              </w:rPr>
            </w:pPr>
            <w:r>
              <w:rPr>
                <w:rFonts w:hint="eastAsia" w:ascii="仿宋_GB2312" w:hAnsi="仿宋" w:eastAsia="仿宋_GB2312" w:cs="仿宋"/>
              </w:rPr>
              <w:t>要求</w:t>
            </w:r>
          </w:p>
        </w:tc>
        <w:tc>
          <w:tcPr>
            <w:tcW w:w="1745" w:type="dxa"/>
            <w:vAlign w:val="center"/>
          </w:tcPr>
          <w:p>
            <w:pPr>
              <w:jc w:val="center"/>
              <w:rPr>
                <w:rFonts w:hint="eastAsia" w:ascii="仿宋_GB2312" w:hAnsi="仿宋" w:eastAsia="仿宋_GB2312" w:cs="仿宋"/>
              </w:rPr>
            </w:pPr>
            <w:r>
              <w:rPr>
                <w:rFonts w:hint="eastAsia" w:ascii="仿宋_GB2312" w:hAnsi="仿宋" w:eastAsia="仿宋_GB2312" w:cs="仿宋"/>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1</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低压断路器</w:t>
            </w:r>
          </w:p>
        </w:tc>
        <w:tc>
          <w:tcPr>
            <w:tcW w:w="4230" w:type="dxa"/>
            <w:vAlign w:val="center"/>
          </w:tcPr>
          <w:p>
            <w:pPr>
              <w:jc w:val="center"/>
              <w:rPr>
                <w:rFonts w:hint="eastAsia" w:ascii="仿宋_GB2312" w:hAnsi="仿宋" w:eastAsia="仿宋_GB2312" w:cs="仿宋"/>
              </w:rPr>
            </w:pPr>
            <w:r>
              <w:rPr>
                <w:rFonts w:hint="eastAsia" w:ascii="仿宋_GB2312" w:hAnsi="仿宋" w:eastAsia="仿宋_GB2312" w:cs="仿宋"/>
                <w:szCs w:val="21"/>
              </w:rPr>
              <w:t>绝缘电阻试验</w:t>
            </w:r>
          </w:p>
        </w:tc>
        <w:tc>
          <w:tcPr>
            <w:tcW w:w="174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需逐个</w:t>
            </w:r>
          </w:p>
          <w:p>
            <w:pPr>
              <w:jc w:val="center"/>
              <w:rPr>
                <w:rFonts w:hint="eastAsia" w:ascii="仿宋_GB2312" w:hAnsi="仿宋" w:eastAsia="仿宋_GB2312" w:cs="仿宋"/>
              </w:rPr>
            </w:pPr>
            <w:r>
              <w:rPr>
                <w:rFonts w:hint="eastAsia" w:ascii="仿宋_GB2312" w:hAnsi="仿宋" w:eastAsia="仿宋_GB2312" w:cs="仿宋"/>
              </w:rPr>
              <w:t>抽出测试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rPr>
            </w:pPr>
            <w:r>
              <w:rPr>
                <w:rFonts w:hint="eastAsia" w:ascii="仿宋_GB2312" w:hAnsi="仿宋" w:eastAsia="仿宋_GB2312" w:cs="仿宋"/>
                <w:szCs w:val="21"/>
              </w:rPr>
              <w:t>保护电流整定值试验（大电流）</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2</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sz w:val="24"/>
              </w:rPr>
              <w:t>★</w:t>
            </w:r>
            <w:r>
              <w:rPr>
                <w:rFonts w:hint="eastAsia" w:ascii="仿宋_GB2312" w:hAnsi="仿宋" w:eastAsia="仿宋_GB2312" w:cs="仿宋"/>
              </w:rPr>
              <w:t>低压电容器</w:t>
            </w:r>
          </w:p>
        </w:tc>
        <w:tc>
          <w:tcPr>
            <w:tcW w:w="4230" w:type="dxa"/>
            <w:vAlign w:val="center"/>
          </w:tcPr>
          <w:p>
            <w:pPr>
              <w:jc w:val="center"/>
              <w:rPr>
                <w:rFonts w:hint="eastAsia" w:ascii="仿宋_GB2312" w:hAnsi="仿宋" w:eastAsia="仿宋_GB2312" w:cs="仿宋"/>
              </w:rPr>
            </w:pPr>
            <w:r>
              <w:rPr>
                <w:rFonts w:hint="eastAsia" w:ascii="仿宋_GB2312" w:hAnsi="仿宋" w:eastAsia="仿宋_GB2312" w:cs="仿宋"/>
                <w:szCs w:val="21"/>
              </w:rPr>
              <w:t>极对壳绝缘电阻试验</w:t>
            </w:r>
          </w:p>
        </w:tc>
        <w:tc>
          <w:tcPr>
            <w:tcW w:w="174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电容值试验</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并联电阻值测量</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rPr>
            </w:pPr>
            <w:r>
              <w:rPr>
                <w:rFonts w:hint="eastAsia" w:ascii="仿宋_GB2312" w:hAnsi="仿宋" w:eastAsia="仿宋_GB2312" w:cs="仿宋"/>
              </w:rPr>
              <w:t>渗漏油检查（维保已每月检查）</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3</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串联电抗器</w:t>
            </w: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绕组绝缘电阻试验</w:t>
            </w:r>
          </w:p>
        </w:tc>
        <w:tc>
          <w:tcPr>
            <w:tcW w:w="174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DL/T569-2021《电力设备预防性试验规程》21.5条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电抗(或电感)值测量</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绕组直流电阻试验</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绕组对铁芯和外壳交流耐压及相间交流耐压</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3</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低压母线</w:t>
            </w: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绝缘电阻试验</w:t>
            </w:r>
          </w:p>
        </w:tc>
        <w:tc>
          <w:tcPr>
            <w:tcW w:w="174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DL/T569-2021《电力设备预防性试验规程》17条、18条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交流耐压试验</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4</w:t>
            </w:r>
          </w:p>
        </w:tc>
        <w:tc>
          <w:tcPr>
            <w:tcW w:w="2295" w:type="dxa"/>
            <w:vMerge w:val="restart"/>
            <w:vAlign w:val="center"/>
          </w:tcPr>
          <w:p>
            <w:pPr>
              <w:jc w:val="center"/>
              <w:rPr>
                <w:rFonts w:hint="eastAsia" w:ascii="仿宋_GB2312" w:hAnsi="仿宋" w:eastAsia="仿宋_GB2312" w:cs="仿宋"/>
              </w:rPr>
            </w:pPr>
            <w:r>
              <w:rPr>
                <w:rFonts w:hint="eastAsia" w:ascii="仿宋_GB2312" w:hAnsi="仿宋" w:eastAsia="仿宋_GB2312" w:cs="仿宋"/>
              </w:rPr>
              <w:t>二次回路</w:t>
            </w: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二次回路检查测试</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通流检查测试</w:t>
            </w:r>
          </w:p>
        </w:tc>
        <w:tc>
          <w:tcPr>
            <w:tcW w:w="1745" w:type="dxa"/>
            <w:vMerge w:val="continue"/>
            <w:vAlign w:val="center"/>
          </w:tcPr>
          <w:p>
            <w:pPr>
              <w:jc w:val="center"/>
              <w:rPr>
                <w:rFonts w:hint="eastAsia" w:ascii="仿宋_GB2312" w:hAnsi="仿宋" w:eastAsia="仿宋_GB2312"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Merge w:val="continue"/>
            <w:vAlign w:val="center"/>
          </w:tcPr>
          <w:p>
            <w:pPr>
              <w:jc w:val="center"/>
              <w:rPr>
                <w:rFonts w:hint="eastAsia" w:ascii="仿宋_GB2312" w:hAnsi="仿宋" w:eastAsia="仿宋_GB2312" w:cs="仿宋"/>
              </w:rPr>
            </w:pPr>
          </w:p>
        </w:tc>
        <w:tc>
          <w:tcPr>
            <w:tcW w:w="2295" w:type="dxa"/>
            <w:vMerge w:val="continue"/>
            <w:vAlign w:val="center"/>
          </w:tcPr>
          <w:p>
            <w:pPr>
              <w:jc w:val="center"/>
              <w:rPr>
                <w:rFonts w:hint="eastAsia" w:ascii="仿宋_GB2312" w:hAnsi="仿宋" w:eastAsia="仿宋_GB2312" w:cs="仿宋"/>
              </w:rPr>
            </w:pPr>
          </w:p>
        </w:tc>
        <w:tc>
          <w:tcPr>
            <w:tcW w:w="4230"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互感器、仪表检查测试</w:t>
            </w:r>
          </w:p>
        </w:tc>
        <w:tc>
          <w:tcPr>
            <w:tcW w:w="1745" w:type="dxa"/>
            <w:vMerge w:val="continue"/>
            <w:vAlign w:val="center"/>
          </w:tcPr>
          <w:p>
            <w:pPr>
              <w:jc w:val="center"/>
              <w:rPr>
                <w:rFonts w:hint="eastAsia" w:ascii="仿宋_GB2312" w:hAnsi="仿宋" w:eastAsia="仿宋_GB2312" w:cs="仿宋"/>
              </w:rPr>
            </w:pPr>
          </w:p>
        </w:tc>
      </w:tr>
    </w:tbl>
    <w:p>
      <w:pPr>
        <w:rPr>
          <w:rFonts w:hint="eastAsia" w:ascii="仿宋_GB2312" w:eastAsia="仿宋_GB2312"/>
        </w:rPr>
      </w:pP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（7）南北区高低压设备检测维护工程所涉及主要配件、材料必须为优质合格产品。投标人必须确保工程所涉及主要配件、材料安全、环保、防火、可靠，质量合格。符合国家质量验收规范标准。</w:t>
      </w:r>
    </w:p>
    <w:p>
      <w:pPr>
        <w:spacing w:line="500" w:lineRule="exact"/>
        <w:ind w:firstLine="480"/>
        <w:rPr>
          <w:rFonts w:hint="eastAsia" w:ascii="仿宋_GB2312" w:hAnsi="仿宋" w:eastAsia="仿宋_GB2312" w:cs="仿宋"/>
          <w:b/>
          <w:bCs/>
          <w:sz w:val="28"/>
          <w:szCs w:val="28"/>
        </w:rPr>
      </w:pPr>
      <w:r>
        <w:rPr>
          <w:rFonts w:hint="eastAsia" w:ascii="仿宋_GB2312" w:hAnsi="仿宋" w:eastAsia="仿宋_GB2312" w:cs="仿宋"/>
          <w:b/>
          <w:bCs/>
          <w:sz w:val="28"/>
          <w:szCs w:val="28"/>
        </w:rPr>
        <w:t>2．试验人员要求：</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（1）试验人员总人数不少于10人，所有试验人员均具备有效的高压电工证。</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2）投标人为本项目配备的项目经理具有电气或机电专业本科及以上学历，具备中级工程师“建设工程专业”及以上职称，具有特种电工作业证书（继电保护作业和电气保护作业）及“高、低压电工作业证”，主要负责与甲方管理部门进行预防性试验工作的对接和汇报，此外还包括该项目服务工作的管理、试验人员的安排以及该项目的应急措施工作等。</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（3）试验人员包含至少6名技术人员，具备国家安监局颁发的“继电保护作业证”两人、“电气试验作业证”两人、“电力电缆作业证”两人，主要负责该项目技术服务与执行，设备性能的技术分析与鉴定。</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4）试验人员包含至少3名维修人员，同时具备国家安监局颁发的“高处安装、维护、拆除作业证”及“熔化焊接与热切割作业证”，主要负责该项目维修维护服务，设备维修报告及该项目设备的应急措施的维修维护工作。</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5）投标人须为本次项目配备的试验人员购买有效期内的雇主责任险及意外伤害险；同时提供社保机构出具近3个月，投标人为试验人员缴纳的养老保险缴费证明材料（须加盖社保中心章或社保中心参保缴费证明电子专用章或具有可验证的二维码（或验证码），至少提供近3个月）。</w:t>
      </w:r>
    </w:p>
    <w:p>
      <w:pPr>
        <w:spacing w:line="500" w:lineRule="exact"/>
        <w:ind w:firstLine="480"/>
        <w:rPr>
          <w:rFonts w:hint="eastAsia" w:ascii="仿宋_GB2312" w:hAnsi="仿宋" w:eastAsia="仿宋_GB2312" w:cs="仿宋"/>
          <w:b/>
          <w:bCs/>
          <w:sz w:val="28"/>
          <w:szCs w:val="28"/>
        </w:rPr>
      </w:pPr>
      <w:r>
        <w:rPr>
          <w:rFonts w:hint="eastAsia" w:ascii="仿宋_GB2312" w:hAnsi="仿宋" w:eastAsia="仿宋_GB2312" w:cs="仿宋"/>
          <w:b/>
          <w:bCs/>
          <w:sz w:val="28"/>
          <w:szCs w:val="28"/>
        </w:rPr>
        <w:t>3．具体施工要求：</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（1）投标人须提供详细具体的施工及检测、维修方案，试验进度计划表、组织结构、人员配备、所用试验设备介绍表等。</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（2）投标人是本次项目安全的责任主体，必须设专职安全员，在进场前认真检查个人劳动防护用品及施工工具，工作期间要坚持例行现场试验运行安全检查，并作好详细记录。</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（3）投标人在预防性试验开始前</w:t>
      </w:r>
      <w:r>
        <w:rPr>
          <w:rFonts w:hint="eastAsia" w:ascii="仿宋_GB2312" w:hAnsi="仿宋" w:eastAsia="仿宋_GB2312" w:cs="仿宋"/>
          <w:kern w:val="0"/>
          <w:sz w:val="28"/>
          <w:szCs w:val="28"/>
          <w:u w:val="single"/>
        </w:rPr>
        <w:t xml:space="preserve"> 2 </w:t>
      </w:r>
      <w:r>
        <w:rPr>
          <w:rFonts w:hint="eastAsia" w:ascii="仿宋_GB2312" w:hAnsi="仿宋" w:eastAsia="仿宋_GB2312" w:cs="仿宋"/>
          <w:kern w:val="0"/>
          <w:sz w:val="28"/>
          <w:szCs w:val="28"/>
        </w:rPr>
        <w:t>个工作日提前编制好试验实施细则，具体包括试验设备、试验程序、试验方法及安全措施等，所编制的试验实施细则需经甲方认可后方可实施。</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（4）投标人必须具备两组工作人员和试验设备同时作业的能力，必要时可能三组同时作业。</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（5）投标人在做试验时需项目经理及技术人员全程跟踪、配合，服从学院工作安排，接到学院需要做试验通知后，尽快组织人力物力在规定时间内到达现场，学院尽量提前两天通知。</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（6）投标人做试验时必须遵守学院相关的规章制度，严格遵守安全操作规程，妥善保存自己携带的试验设备。</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（7）投标人对做完试验的电气设备进行除尘，学院配电管理人员检查无问题后投标人需将设备恢复原状，安装柜门，清理、打扫现场。</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8）投标人应本着安全、有序及高效的原则开展本次预防性试验工作，投标人对试验安全及试验数据负全责。即因试验不安全而造成任何设备损坏及人身伤亡事故，由投标人承担全部责任，因试验不合理或试验报告内数据上的错误所造成的一切损失，由投标人全额承担。</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（9）试验完毕后，投标人需出具正规有效的试验报告并签字，加盖试验单位的专用章，按照一定规则分类、打印装订整齐，对试验不合格的设备给出书面的整改意见。</w:t>
      </w:r>
    </w:p>
    <w:p>
      <w:pPr>
        <w:spacing w:line="500" w:lineRule="exact"/>
        <w:ind w:firstLine="480"/>
        <w:rPr>
          <w:rFonts w:hint="eastAsia" w:ascii="仿宋_GB2312" w:hAnsi="仿宋" w:eastAsia="仿宋_GB2312" w:cs="仿宋"/>
          <w:b/>
          <w:bCs/>
          <w:sz w:val="28"/>
          <w:szCs w:val="28"/>
        </w:rPr>
      </w:pPr>
      <w:bookmarkStart w:id="0" w:name="_Toc28872"/>
      <w:bookmarkStart w:id="1" w:name="_Toc9439"/>
      <w:bookmarkStart w:id="2" w:name="_Toc3139"/>
      <w:bookmarkStart w:id="3" w:name="_Toc21377"/>
      <w:bookmarkStart w:id="4" w:name="_Toc23527"/>
      <w:r>
        <w:rPr>
          <w:rFonts w:hint="eastAsia" w:ascii="仿宋_GB2312" w:hAnsi="仿宋" w:eastAsia="仿宋_GB2312" w:cs="仿宋"/>
          <w:b/>
          <w:bCs/>
          <w:sz w:val="28"/>
          <w:szCs w:val="28"/>
        </w:rPr>
        <w:t>4．试验设备配置要求：</w:t>
      </w:r>
    </w:p>
    <w:bookmarkEnd w:id="0"/>
    <w:bookmarkEnd w:id="1"/>
    <w:bookmarkEnd w:id="2"/>
    <w:bookmarkEnd w:id="3"/>
    <w:bookmarkEnd w:id="4"/>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投标人须具备履行本项目所必需的试验仪器及设备（下表为最低要求，包括且不限于），根据下表试验仪器及设备清单要求，按照后附“格式”提供所需试验设备的照片及采购发票（提供试验设备的照片及采购发票并加盖单位公章，采购发票原件备查）。</w:t>
      </w:r>
    </w:p>
    <w:p>
      <w:pPr>
        <w:widowControl/>
        <w:tabs>
          <w:tab w:val="left" w:pos="0"/>
          <w:tab w:val="left" w:pos="993"/>
          <w:tab w:val="left" w:pos="1134"/>
        </w:tabs>
        <w:spacing w:line="500" w:lineRule="exact"/>
        <w:ind w:firstLine="560" w:firstLineChars="200"/>
        <w:outlineLvl w:val="2"/>
        <w:rPr>
          <w:rFonts w:hint="eastAsia" w:ascii="仿宋_GB2312" w:hAnsi="仿宋" w:eastAsia="仿宋_GB2312" w:cs="仿宋"/>
          <w:kern w:val="0"/>
          <w:sz w:val="28"/>
          <w:szCs w:val="28"/>
        </w:rPr>
      </w:pPr>
      <w:bookmarkStart w:id="5" w:name="_Toc17128"/>
      <w:r>
        <w:rPr>
          <w:rFonts w:hint="eastAsia" w:ascii="仿宋_GB2312" w:hAnsi="仿宋" w:eastAsia="仿宋_GB2312" w:cs="仿宋"/>
          <w:kern w:val="0"/>
          <w:sz w:val="28"/>
          <w:szCs w:val="28"/>
        </w:rPr>
        <w:t>（1）试验仪器及设备清单</w:t>
      </w:r>
      <w:bookmarkEnd w:id="5"/>
    </w:p>
    <w:tbl>
      <w:tblPr>
        <w:tblStyle w:val="6"/>
        <w:tblW w:w="0" w:type="auto"/>
        <w:jc w:val="center"/>
        <w:tblLayout w:type="fixed"/>
        <w:tblCellMar>
          <w:top w:w="15" w:type="dxa"/>
          <w:left w:w="15" w:type="dxa"/>
          <w:bottom w:w="15" w:type="dxa"/>
          <w:right w:w="15" w:type="dxa"/>
        </w:tblCellMar>
      </w:tblPr>
      <w:tblGrid>
        <w:gridCol w:w="621"/>
        <w:gridCol w:w="2098"/>
        <w:gridCol w:w="2269"/>
        <w:gridCol w:w="2266"/>
        <w:gridCol w:w="2266"/>
      </w:tblGrid>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序号</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设备名称</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设备组成明细</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对应试验内容</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具体型号及参数</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直流电阻测试仪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变压器试验所需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2</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变压器变比测试仪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变压器试验所需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3</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断路器特性测试仪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断路器试验所需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4</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回路电阻测试仪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断路器试验所需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5</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大电流发生器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低压断路器试验所需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6</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单相继电保护测试仪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继电保护试验所需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7</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三相继电保护测试仪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继电保护试验所需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8</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互感器综合测试仪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互感器试验所需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9</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直流高压发生器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主机、倍压筒</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避雷器试验所需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10</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10kV绝缘电阻测试仪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绝缘试验所需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11</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可调高压数字兆欧表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绝缘试验所需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12</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油浸式试验变压器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主机、升压器</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耐压试验所需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13</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蓄电池放电监测仪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蓄电池试验所需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vMerge w:val="restart"/>
            <w:tcBorders>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14</w:t>
            </w:r>
          </w:p>
        </w:tc>
        <w:tc>
          <w:tcPr>
            <w:tcW w:w="2098" w:type="dxa"/>
            <w:vMerge w:val="restart"/>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变频串联谐振</w:t>
            </w:r>
            <w:r>
              <w:rPr>
                <w:rFonts w:hint="eastAsia" w:ascii="仿宋_GB2312" w:hAnsi="仿宋" w:eastAsia="仿宋_GB2312" w:cs="仿宋"/>
                <w:kern w:val="0"/>
                <w:szCs w:val="21"/>
              </w:rPr>
              <w:br w:type="textWrapping"/>
            </w:r>
            <w:r>
              <w:rPr>
                <w:rFonts w:hint="eastAsia" w:ascii="仿宋_GB2312" w:hAnsi="仿宋" w:eastAsia="仿宋_GB2312" w:cs="仿宋"/>
                <w:kern w:val="0"/>
                <w:szCs w:val="21"/>
              </w:rPr>
              <w:t>试验装置</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串联谐振主机</w:t>
            </w:r>
          </w:p>
        </w:tc>
        <w:tc>
          <w:tcPr>
            <w:tcW w:w="2266" w:type="dxa"/>
            <w:vMerge w:val="restart"/>
            <w:tcBorders>
              <w:top w:val="single" w:color="000000" w:sz="4" w:space="0"/>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电缆及成套设备耐压试验所需</w:t>
            </w:r>
          </w:p>
        </w:tc>
        <w:tc>
          <w:tcPr>
            <w:tcW w:w="2266" w:type="dxa"/>
            <w:vMerge w:val="restart"/>
            <w:tcBorders>
              <w:top w:val="single" w:color="000000" w:sz="4" w:space="0"/>
              <w:left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098"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串联谐振励磁变压器</w:t>
            </w:r>
          </w:p>
        </w:tc>
        <w:tc>
          <w:tcPr>
            <w:tcW w:w="2266" w:type="dxa"/>
            <w:vMerge w:val="continue"/>
            <w:tcBorders>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p>
        </w:tc>
        <w:tc>
          <w:tcPr>
            <w:tcW w:w="2266" w:type="dxa"/>
            <w:vMerge w:val="continue"/>
            <w:tcBorders>
              <w:left w:val="single" w:color="000000" w:sz="4" w:space="0"/>
              <w:right w:val="single" w:color="000000" w:sz="4" w:space="0"/>
            </w:tcBorders>
            <w:vAlign w:val="center"/>
          </w:tcPr>
          <w:p>
            <w:pPr>
              <w:jc w:val="center"/>
              <w:rPr>
                <w:rFonts w:hint="eastAsia" w:ascii="仿宋_GB2312" w:hAnsi="仿宋" w:eastAsia="仿宋_GB2312" w:cs="仿宋"/>
                <w:szCs w:val="21"/>
              </w:rPr>
            </w:pPr>
          </w:p>
        </w:tc>
      </w:tr>
      <w:tr>
        <w:tblPrEx>
          <w:tblCellMar>
            <w:top w:w="15" w:type="dxa"/>
            <w:left w:w="15" w:type="dxa"/>
            <w:bottom w:w="15" w:type="dxa"/>
            <w:right w:w="15" w:type="dxa"/>
          </w:tblCellMar>
        </w:tblPrEx>
        <w:trPr>
          <w:trHeight w:val="397" w:hRule="atLeast"/>
          <w:jc w:val="center"/>
        </w:trPr>
        <w:tc>
          <w:tcPr>
            <w:tcW w:w="621"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098"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串联谐振电容分压器</w:t>
            </w:r>
          </w:p>
        </w:tc>
        <w:tc>
          <w:tcPr>
            <w:tcW w:w="2266" w:type="dxa"/>
            <w:vMerge w:val="continue"/>
            <w:tcBorders>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p>
        </w:tc>
        <w:tc>
          <w:tcPr>
            <w:tcW w:w="2266" w:type="dxa"/>
            <w:vMerge w:val="continue"/>
            <w:tcBorders>
              <w:left w:val="single" w:color="000000" w:sz="4" w:space="0"/>
              <w:right w:val="single" w:color="000000" w:sz="4" w:space="0"/>
            </w:tcBorders>
            <w:vAlign w:val="center"/>
          </w:tcPr>
          <w:p>
            <w:pPr>
              <w:jc w:val="center"/>
              <w:rPr>
                <w:rFonts w:hint="eastAsia" w:ascii="仿宋_GB2312" w:hAnsi="仿宋" w:eastAsia="仿宋_GB2312" w:cs="仿宋"/>
                <w:szCs w:val="21"/>
              </w:rPr>
            </w:pPr>
          </w:p>
        </w:tc>
      </w:tr>
      <w:tr>
        <w:tblPrEx>
          <w:tblCellMar>
            <w:top w:w="15" w:type="dxa"/>
            <w:left w:w="15" w:type="dxa"/>
            <w:bottom w:w="15" w:type="dxa"/>
            <w:right w:w="15" w:type="dxa"/>
          </w:tblCellMar>
        </w:tblPrEx>
        <w:trPr>
          <w:trHeight w:val="397" w:hRule="atLeast"/>
          <w:jc w:val="center"/>
        </w:trPr>
        <w:tc>
          <w:tcPr>
            <w:tcW w:w="621"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098"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串联谐振补偿电容器</w:t>
            </w:r>
          </w:p>
        </w:tc>
        <w:tc>
          <w:tcPr>
            <w:tcW w:w="2266" w:type="dxa"/>
            <w:vMerge w:val="continue"/>
            <w:tcBorders>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p>
        </w:tc>
        <w:tc>
          <w:tcPr>
            <w:tcW w:w="2266" w:type="dxa"/>
            <w:vMerge w:val="continue"/>
            <w:tcBorders>
              <w:left w:val="single" w:color="000000" w:sz="4" w:space="0"/>
              <w:right w:val="single" w:color="000000" w:sz="4" w:space="0"/>
            </w:tcBorders>
            <w:vAlign w:val="center"/>
          </w:tcPr>
          <w:p>
            <w:pPr>
              <w:jc w:val="center"/>
              <w:rPr>
                <w:rFonts w:hint="eastAsia" w:ascii="仿宋_GB2312" w:hAnsi="仿宋" w:eastAsia="仿宋_GB2312" w:cs="仿宋"/>
                <w:szCs w:val="21"/>
              </w:rPr>
            </w:pPr>
          </w:p>
        </w:tc>
      </w:tr>
      <w:tr>
        <w:tblPrEx>
          <w:tblCellMar>
            <w:top w:w="15" w:type="dxa"/>
            <w:left w:w="15" w:type="dxa"/>
            <w:bottom w:w="15" w:type="dxa"/>
            <w:right w:w="15" w:type="dxa"/>
          </w:tblCellMar>
        </w:tblPrEx>
        <w:trPr>
          <w:trHeight w:val="397" w:hRule="atLeast"/>
          <w:jc w:val="center"/>
        </w:trPr>
        <w:tc>
          <w:tcPr>
            <w:tcW w:w="621"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098"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串联谐振高压电抗器</w:t>
            </w:r>
          </w:p>
        </w:tc>
        <w:tc>
          <w:tcPr>
            <w:tcW w:w="2266" w:type="dxa"/>
            <w:vMerge w:val="continue"/>
            <w:tcBorders>
              <w:left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p>
        </w:tc>
        <w:tc>
          <w:tcPr>
            <w:tcW w:w="2266" w:type="dxa"/>
            <w:vMerge w:val="continue"/>
            <w:tcBorders>
              <w:left w:val="single" w:color="000000" w:sz="4" w:space="0"/>
              <w:right w:val="single" w:color="000000" w:sz="4" w:space="0"/>
            </w:tcBorders>
            <w:vAlign w:val="center"/>
          </w:tcPr>
          <w:p>
            <w:pPr>
              <w:jc w:val="center"/>
              <w:rPr>
                <w:rFonts w:hint="eastAsia" w:ascii="仿宋_GB2312" w:hAnsi="仿宋" w:eastAsia="仿宋_GB2312" w:cs="仿宋"/>
                <w:szCs w:val="21"/>
              </w:rPr>
            </w:pPr>
          </w:p>
        </w:tc>
      </w:tr>
      <w:tr>
        <w:tblPrEx>
          <w:tblCellMar>
            <w:top w:w="15" w:type="dxa"/>
            <w:left w:w="15" w:type="dxa"/>
            <w:bottom w:w="15" w:type="dxa"/>
            <w:right w:w="15" w:type="dxa"/>
          </w:tblCellMar>
        </w:tblPrEx>
        <w:trPr>
          <w:trHeight w:val="397" w:hRule="atLeast"/>
          <w:jc w:val="center"/>
        </w:trPr>
        <w:tc>
          <w:tcPr>
            <w:tcW w:w="621"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098" w:type="dxa"/>
            <w:vMerge w:val="continue"/>
            <w:tcBorders>
              <w:left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串联谐振线箱</w:t>
            </w:r>
          </w:p>
        </w:tc>
        <w:tc>
          <w:tcPr>
            <w:tcW w:w="2266" w:type="dxa"/>
            <w:vMerge w:val="continue"/>
            <w:tcBorders>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p>
        </w:tc>
        <w:tc>
          <w:tcPr>
            <w:tcW w:w="2266" w:type="dxa"/>
            <w:vMerge w:val="continue"/>
            <w:tcBorders>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15</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接地电阻测试仪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接地电阻试验所需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16</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大口径钳形接地电阻测试仪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接地电阻试验所需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17</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绝缘靴手套耐压试验装置</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主机、水槽、升压器</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安全器具试验所需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18</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无线数字核相仪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主机、操作杆</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电力抢修试验所需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19</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有毒气体检测仪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进入电缆井所需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20</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红外热成像仪</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设备维护检查所需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bookmarkStart w:id="6" w:name="_Toc6931"/>
            <w:r>
              <w:rPr>
                <w:rFonts w:hint="eastAsia" w:ascii="仿宋_GB2312" w:hAnsi="仿宋" w:eastAsia="仿宋_GB2312" w:cs="仿宋"/>
                <w:kern w:val="0"/>
                <w:szCs w:val="21"/>
              </w:rPr>
              <w:t>21</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数字万用表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设备维护检查所需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r>
        <w:tblPrEx>
          <w:tblCellMar>
            <w:top w:w="15" w:type="dxa"/>
            <w:left w:w="15" w:type="dxa"/>
            <w:bottom w:w="15" w:type="dxa"/>
            <w:right w:w="15" w:type="dxa"/>
          </w:tblCellMar>
        </w:tblPrEx>
        <w:trPr>
          <w:trHeight w:val="397" w:hRule="atLeast"/>
          <w:jc w:val="center"/>
        </w:trPr>
        <w:tc>
          <w:tcPr>
            <w:tcW w:w="621"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22</w:t>
            </w:r>
          </w:p>
        </w:tc>
        <w:tc>
          <w:tcPr>
            <w:tcW w:w="209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柔性钳形电流表</w:t>
            </w:r>
          </w:p>
        </w:tc>
        <w:tc>
          <w:tcPr>
            <w:tcW w:w="2269"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2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设备维护检查所需</w:t>
            </w:r>
          </w:p>
        </w:tc>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由投标人自行填写</w:t>
            </w:r>
          </w:p>
        </w:tc>
      </w:tr>
    </w:tbl>
    <w:p>
      <w:pPr>
        <w:rPr>
          <w:rFonts w:hint="eastAsia" w:ascii="仿宋_GB2312" w:eastAsia="仿宋_GB2312"/>
        </w:rPr>
      </w:pPr>
    </w:p>
    <w:p>
      <w:pPr>
        <w:widowControl/>
        <w:tabs>
          <w:tab w:val="left" w:pos="0"/>
          <w:tab w:val="left" w:pos="993"/>
          <w:tab w:val="left" w:pos="1134"/>
        </w:tabs>
        <w:spacing w:line="48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（2）试验仪器及设备照片、采购发票提供格式</w:t>
      </w:r>
      <w:bookmarkEnd w:id="6"/>
    </w:p>
    <w:p>
      <w:pPr>
        <w:widowControl/>
        <w:tabs>
          <w:tab w:val="left" w:pos="0"/>
          <w:tab w:val="left" w:pos="993"/>
          <w:tab w:val="left" w:pos="1134"/>
        </w:tabs>
        <w:spacing w:line="480" w:lineRule="exact"/>
        <w:ind w:firstLine="560" w:firstLineChars="200"/>
        <w:jc w:val="left"/>
        <w:rPr>
          <w:rFonts w:hint="eastAsia" w:ascii="仿宋_GB2312" w:hAnsi="仿宋" w:eastAsia="仿宋_GB2312" w:cs="仿宋"/>
          <w:kern w:val="0"/>
          <w:sz w:val="28"/>
          <w:szCs w:val="28"/>
        </w:rPr>
      </w:pPr>
      <w:r>
        <w:rPr>
          <w:rFonts w:hint="eastAsia" w:ascii="仿宋_GB2312" w:hAnsi="仿宋" w:eastAsia="仿宋_GB2312" w:cs="仿宋"/>
          <w:kern w:val="0"/>
          <w:sz w:val="28"/>
          <w:szCs w:val="28"/>
        </w:rPr>
        <w:t>示例（一页A4纸张上最多提供一个设备的照片及发票，应能清晰分辨；如模糊不清，视为未提供）。</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8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bookmarkStart w:id="7" w:name="_Toc10955"/>
            <w:r>
              <w:rPr>
                <w:rFonts w:hint="eastAsia" w:ascii="仿宋_GB2312" w:hAnsi="仿宋" w:eastAsia="仿宋_GB2312" w:cs="仿宋"/>
                <w:spacing w:val="30"/>
                <w:szCs w:val="21"/>
              </w:rPr>
              <w:t>名称</w:t>
            </w:r>
          </w:p>
        </w:tc>
        <w:tc>
          <w:tcPr>
            <w:tcW w:w="8576"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1、直流电阻测试仪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51"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设备</w:t>
            </w:r>
          </w:p>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照片</w:t>
            </w:r>
          </w:p>
        </w:tc>
        <w:tc>
          <w:tcPr>
            <w:tcW w:w="8576" w:type="dxa"/>
            <w:vAlign w:val="center"/>
          </w:tcPr>
          <w:p>
            <w:pPr>
              <w:jc w:val="center"/>
              <w:rPr>
                <w:rFonts w:hint="eastAsia" w:ascii="仿宋_GB2312" w:hAnsi="仿宋" w:eastAsia="仿宋_GB2312"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68"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采购</w:t>
            </w:r>
          </w:p>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发票</w:t>
            </w:r>
          </w:p>
        </w:tc>
        <w:tc>
          <w:tcPr>
            <w:tcW w:w="8576" w:type="dxa"/>
            <w:vAlign w:val="center"/>
          </w:tcPr>
          <w:p>
            <w:pPr>
              <w:jc w:val="center"/>
              <w:rPr>
                <w:rFonts w:hint="eastAsia" w:ascii="仿宋_GB2312" w:hAnsi="仿宋" w:eastAsia="仿宋_GB2312" w:cs="仿宋"/>
                <w:szCs w:val="21"/>
              </w:rPr>
            </w:pPr>
          </w:p>
        </w:tc>
      </w:tr>
    </w:tbl>
    <w:p>
      <w:pPr>
        <w:rPr>
          <w:rFonts w:hint="eastAsia" w:ascii="仿宋_GB2312" w:hAnsi="仿宋" w:eastAsia="仿宋_GB2312" w:cs="仿宋"/>
        </w:rPr>
      </w:pPr>
    </w:p>
    <w:p>
      <w:pPr>
        <w:spacing w:line="480" w:lineRule="exact"/>
        <w:ind w:firstLine="480"/>
        <w:rPr>
          <w:rFonts w:hint="eastAsia" w:ascii="仿宋_GB2312" w:hAnsi="仿宋" w:eastAsia="仿宋_GB2312" w:cs="仿宋"/>
          <w:b/>
          <w:bCs/>
          <w:sz w:val="28"/>
          <w:szCs w:val="28"/>
        </w:rPr>
      </w:pPr>
      <w:bookmarkStart w:id="8" w:name="_Toc29766"/>
      <w:bookmarkStart w:id="9" w:name="_Toc26054"/>
      <w:bookmarkStart w:id="10" w:name="_Toc10866"/>
      <w:bookmarkStart w:id="11" w:name="_Toc15047"/>
    </w:p>
    <w:p>
      <w:pPr>
        <w:spacing w:line="480" w:lineRule="exact"/>
        <w:ind w:firstLine="480"/>
        <w:rPr>
          <w:rFonts w:hint="eastAsia" w:ascii="仿宋_GB2312" w:hAnsi="仿宋" w:eastAsia="仿宋_GB2312" w:cs="仿宋"/>
          <w:b/>
          <w:bCs/>
          <w:sz w:val="28"/>
          <w:szCs w:val="28"/>
        </w:rPr>
      </w:pPr>
      <w:r>
        <w:rPr>
          <w:rFonts w:hint="eastAsia" w:ascii="仿宋_GB2312" w:hAnsi="仿宋" w:eastAsia="仿宋_GB2312" w:cs="仿宋"/>
          <w:b/>
          <w:bCs/>
          <w:sz w:val="28"/>
          <w:szCs w:val="28"/>
        </w:rPr>
        <w:t>5．试验设备校验要求：</w:t>
      </w:r>
    </w:p>
    <w:bookmarkEnd w:id="7"/>
    <w:bookmarkEnd w:id="8"/>
    <w:bookmarkEnd w:id="9"/>
    <w:bookmarkEnd w:id="10"/>
    <w:bookmarkEnd w:id="11"/>
    <w:p>
      <w:pPr>
        <w:widowControl/>
        <w:tabs>
          <w:tab w:val="left" w:pos="0"/>
          <w:tab w:val="left" w:pos="993"/>
          <w:tab w:val="left" w:pos="1134"/>
        </w:tabs>
        <w:spacing w:line="48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投标人履行本项目所必需的试验仪器及设备，试验设备本身须定期送检校验核准，根据下表主要试验设备清单要求，按照后附“格式”提供所需主要试验设备的检验报告；（提供主要试验设备江苏省或南京市的计量检验中心检验报告复印件并加盖单位公章，报告原件备查）。</w:t>
      </w:r>
    </w:p>
    <w:p>
      <w:pPr>
        <w:widowControl/>
        <w:tabs>
          <w:tab w:val="left" w:pos="0"/>
          <w:tab w:val="left" w:pos="993"/>
          <w:tab w:val="left" w:pos="1134"/>
        </w:tabs>
        <w:spacing w:line="48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（1）主要定期校验试验设备清单</w:t>
      </w:r>
    </w:p>
    <w:tbl>
      <w:tblPr>
        <w:tblStyle w:val="6"/>
        <w:tblW w:w="9234" w:type="dxa"/>
        <w:jc w:val="center"/>
        <w:tblLayout w:type="fixed"/>
        <w:tblCellMar>
          <w:top w:w="15" w:type="dxa"/>
          <w:left w:w="15" w:type="dxa"/>
          <w:bottom w:w="15" w:type="dxa"/>
          <w:right w:w="15" w:type="dxa"/>
        </w:tblCellMar>
      </w:tblPr>
      <w:tblGrid>
        <w:gridCol w:w="886"/>
        <w:gridCol w:w="3012"/>
        <w:gridCol w:w="2670"/>
        <w:gridCol w:w="2666"/>
      </w:tblGrid>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序号</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设备名称</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设备组成明细</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b/>
                <w:bCs/>
                <w:kern w:val="0"/>
                <w:szCs w:val="21"/>
              </w:rPr>
            </w:pPr>
            <w:r>
              <w:rPr>
                <w:rFonts w:hint="eastAsia" w:ascii="仿宋_GB2312" w:hAnsi="仿宋" w:eastAsia="仿宋_GB2312" w:cs="仿宋"/>
                <w:b/>
                <w:bCs/>
                <w:kern w:val="0"/>
                <w:szCs w:val="21"/>
              </w:rPr>
              <w:t>具体型号及参数</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直流高压发生器</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主机、倍压筒</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2</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单相继电保护测试仪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3</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断路器特性测试仪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4</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高压试验变压器</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主机、升压器</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5</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绝缘电阻测试仪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6</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回路电阻测试仪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7</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蓄电池检测仪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8</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互感器综合测试仪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9</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大电流发生器</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10</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直流电阻测试仪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11</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变压器变比测试仪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12</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无线核相仪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主机、操作杆</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13</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三相继电保护测试仪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主机、设备箱</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14</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数字万用表</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15</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柔性钳形电流表</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r>
        <w:tblPrEx>
          <w:tblCellMar>
            <w:top w:w="15" w:type="dxa"/>
            <w:left w:w="15" w:type="dxa"/>
            <w:bottom w:w="15" w:type="dxa"/>
            <w:right w:w="15" w:type="dxa"/>
          </w:tblCellMar>
        </w:tblPrEx>
        <w:trPr>
          <w:trHeight w:val="454" w:hRule="atLeast"/>
          <w:jc w:val="center"/>
        </w:trPr>
        <w:tc>
          <w:tcPr>
            <w:tcW w:w="88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16</w:t>
            </w:r>
          </w:p>
        </w:tc>
        <w:tc>
          <w:tcPr>
            <w:tcW w:w="3012"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ind w:firstLine="210" w:firstLineChars="100"/>
              <w:jc w:val="center"/>
              <w:rPr>
                <w:rFonts w:hint="eastAsia" w:ascii="仿宋_GB2312" w:hAnsi="仿宋" w:eastAsia="仿宋_GB2312" w:cs="仿宋"/>
                <w:kern w:val="0"/>
                <w:szCs w:val="21"/>
              </w:rPr>
            </w:pPr>
            <w:r>
              <w:rPr>
                <w:rFonts w:hint="eastAsia" w:ascii="仿宋_GB2312" w:hAnsi="仿宋" w:eastAsia="仿宋_GB2312" w:cs="仿宋"/>
                <w:kern w:val="0"/>
                <w:szCs w:val="21"/>
              </w:rPr>
              <w:t>大口径钳形接地电阻测试仪</w:t>
            </w:r>
          </w:p>
        </w:tc>
        <w:tc>
          <w:tcPr>
            <w:tcW w:w="267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主机、线包</w:t>
            </w:r>
          </w:p>
        </w:tc>
        <w:tc>
          <w:tcPr>
            <w:tcW w:w="2666"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993"/>
                <w:tab w:val="left" w:pos="1134"/>
              </w:tabs>
              <w:jc w:val="center"/>
              <w:rPr>
                <w:rFonts w:hint="eastAsia" w:ascii="仿宋_GB2312" w:hAnsi="仿宋" w:eastAsia="仿宋_GB2312" w:cs="仿宋"/>
                <w:kern w:val="0"/>
                <w:szCs w:val="21"/>
              </w:rPr>
            </w:pPr>
            <w:r>
              <w:rPr>
                <w:rFonts w:hint="eastAsia" w:ascii="仿宋_GB2312" w:hAnsi="仿宋" w:eastAsia="仿宋_GB2312" w:cs="仿宋"/>
                <w:kern w:val="0"/>
                <w:szCs w:val="21"/>
              </w:rPr>
              <w:t>由投标人自行填写</w:t>
            </w:r>
          </w:p>
        </w:tc>
      </w:tr>
    </w:tbl>
    <w:p>
      <w:pPr>
        <w:rPr>
          <w:rFonts w:hint="eastAsia" w:ascii="仿宋_GB2312" w:hAnsi="仿宋" w:eastAsia="仿宋_GB2312" w:cs="仿宋"/>
          <w:sz w:val="24"/>
        </w:rPr>
      </w:pPr>
    </w:p>
    <w:p>
      <w:pPr>
        <w:widowControl/>
        <w:tabs>
          <w:tab w:val="left" w:pos="0"/>
          <w:tab w:val="left" w:pos="993"/>
          <w:tab w:val="left" w:pos="1134"/>
        </w:tabs>
        <w:spacing w:line="480" w:lineRule="exact"/>
        <w:ind w:firstLine="560" w:firstLineChars="200"/>
        <w:outlineLvl w:val="2"/>
        <w:rPr>
          <w:rFonts w:hint="eastAsia" w:ascii="仿宋_GB2312" w:hAnsi="仿宋" w:eastAsia="仿宋_GB2312" w:cs="仿宋"/>
          <w:kern w:val="0"/>
          <w:sz w:val="28"/>
          <w:szCs w:val="28"/>
        </w:rPr>
      </w:pPr>
      <w:r>
        <w:rPr>
          <w:rFonts w:hint="eastAsia" w:ascii="仿宋_GB2312" w:hAnsi="仿宋" w:eastAsia="仿宋_GB2312" w:cs="仿宋"/>
          <w:kern w:val="0"/>
          <w:sz w:val="28"/>
          <w:szCs w:val="28"/>
        </w:rPr>
        <w:t>（2）主要定期校验试验设备的校验报告提供格式</w:t>
      </w:r>
    </w:p>
    <w:p>
      <w:pPr>
        <w:widowControl/>
        <w:tabs>
          <w:tab w:val="left" w:pos="0"/>
          <w:tab w:val="left" w:pos="993"/>
          <w:tab w:val="left" w:pos="1134"/>
        </w:tabs>
        <w:spacing w:line="480" w:lineRule="exact"/>
        <w:ind w:firstLine="482"/>
        <w:jc w:val="left"/>
        <w:rPr>
          <w:rFonts w:hint="eastAsia" w:ascii="仿宋_GB2312" w:hAnsi="仿宋" w:eastAsia="仿宋_GB2312" w:cs="仿宋"/>
          <w:kern w:val="0"/>
          <w:sz w:val="28"/>
          <w:szCs w:val="28"/>
        </w:rPr>
      </w:pPr>
      <w:r>
        <w:rPr>
          <w:rFonts w:hint="eastAsia" w:ascii="仿宋_GB2312" w:hAnsi="仿宋" w:eastAsia="仿宋_GB2312" w:cs="仿宋"/>
          <w:kern w:val="0"/>
          <w:sz w:val="28"/>
          <w:szCs w:val="28"/>
        </w:rPr>
        <w:t>示例（一页A4纸张上最多提供一个设备的照片及报告，应能清晰分辨；如模糊不清，视为未提供）。</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8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名称</w:t>
            </w:r>
          </w:p>
        </w:tc>
        <w:tc>
          <w:tcPr>
            <w:tcW w:w="8576" w:type="dxa"/>
            <w:vAlign w:val="center"/>
          </w:tcPr>
          <w:p>
            <w:pPr>
              <w:jc w:val="center"/>
              <w:rPr>
                <w:rFonts w:hint="eastAsia" w:ascii="仿宋_GB2312" w:hAnsi="仿宋" w:eastAsia="仿宋_GB2312" w:cs="仿宋"/>
                <w:szCs w:val="21"/>
              </w:rPr>
            </w:pPr>
            <w:r>
              <w:rPr>
                <w:rFonts w:hint="eastAsia" w:ascii="仿宋_GB2312" w:hAnsi="仿宋" w:eastAsia="仿宋_GB2312" w:cs="仿宋"/>
                <w:szCs w:val="21"/>
              </w:rPr>
              <w:t>1、直流电阻测试仪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51"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设备</w:t>
            </w:r>
          </w:p>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照片</w:t>
            </w:r>
          </w:p>
        </w:tc>
        <w:tc>
          <w:tcPr>
            <w:tcW w:w="8576" w:type="dxa"/>
            <w:vAlign w:val="center"/>
          </w:tcPr>
          <w:p>
            <w:pPr>
              <w:jc w:val="center"/>
              <w:rPr>
                <w:rFonts w:hint="eastAsia" w:ascii="仿宋_GB2312" w:hAnsi="仿宋" w:eastAsia="仿宋_GB2312"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68" w:hRule="atLeast"/>
          <w:jc w:val="center"/>
        </w:trPr>
        <w:tc>
          <w:tcPr>
            <w:tcW w:w="919" w:type="dxa"/>
            <w:tcMar>
              <w:top w:w="0" w:type="dxa"/>
              <w:left w:w="108" w:type="dxa"/>
              <w:bottom w:w="0" w:type="dxa"/>
              <w:right w:w="108" w:type="dxa"/>
            </w:tcMar>
            <w:vAlign w:val="center"/>
          </w:tcPr>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采购</w:t>
            </w:r>
          </w:p>
          <w:p>
            <w:pPr>
              <w:snapToGrid w:val="0"/>
              <w:jc w:val="center"/>
              <w:rPr>
                <w:rFonts w:hint="eastAsia" w:ascii="仿宋_GB2312" w:hAnsi="仿宋" w:eastAsia="仿宋_GB2312" w:cs="仿宋"/>
                <w:spacing w:val="30"/>
                <w:szCs w:val="21"/>
              </w:rPr>
            </w:pPr>
            <w:r>
              <w:rPr>
                <w:rFonts w:hint="eastAsia" w:ascii="仿宋_GB2312" w:hAnsi="仿宋" w:eastAsia="仿宋_GB2312" w:cs="仿宋"/>
                <w:spacing w:val="30"/>
                <w:szCs w:val="21"/>
              </w:rPr>
              <w:t>发票</w:t>
            </w:r>
          </w:p>
        </w:tc>
        <w:tc>
          <w:tcPr>
            <w:tcW w:w="8576" w:type="dxa"/>
            <w:vAlign w:val="center"/>
          </w:tcPr>
          <w:p>
            <w:pPr>
              <w:jc w:val="center"/>
              <w:rPr>
                <w:rFonts w:hint="eastAsia" w:ascii="仿宋_GB2312" w:hAnsi="仿宋" w:eastAsia="仿宋_GB2312" w:cs="仿宋"/>
                <w:szCs w:val="21"/>
              </w:rPr>
            </w:pPr>
          </w:p>
        </w:tc>
      </w:tr>
    </w:tbl>
    <w:p>
      <w:pPr>
        <w:rPr>
          <w:rFonts w:hint="eastAsia" w:ascii="仿宋_GB2312" w:eastAsia="仿宋_GB2312"/>
        </w:rPr>
      </w:pPr>
    </w:p>
    <w:p>
      <w:pPr>
        <w:rPr>
          <w:rFonts w:hint="eastAsia" w:ascii="仿宋_GB2312" w:hAnsi="仿宋" w:eastAsia="仿宋_GB2312" w:cs="仿宋"/>
          <w:sz w:val="28"/>
          <w:szCs w:val="28"/>
        </w:rPr>
      </w:pPr>
      <w:r>
        <w:rPr>
          <w:rFonts w:hint="eastAsia" w:ascii="仿宋_GB2312" w:hAnsi="仿宋" w:eastAsia="仿宋_GB2312" w:cs="仿宋"/>
          <w:sz w:val="28"/>
          <w:szCs w:val="28"/>
        </w:rPr>
        <w:t>（三）其它说明</w:t>
      </w:r>
    </w:p>
    <w:p>
      <w:pPr>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1．要安全文明施工，服从后勤处和学院其他部门的管理，爱护学院的所有物品和花草树木，损坏物品按学院有关部门规定赔偿。</w:t>
      </w:r>
    </w:p>
    <w:p>
      <w:pPr>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2．保持施工场地整洁，每天收工前打扫场地，将当日产生的建筑垃圾集中存放，最后将所有的建筑垃圾运出校外，费用由投标单位自理。</w:t>
      </w:r>
    </w:p>
    <w:p>
      <w:pPr>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3．本工程所有材料自选，主材必须符合规定要求，施工单位中标后主要材料样品必须由学院确认后方可施工，决算时不作调整。材料存放要按规范进行，做到整齐有序，分类堆放。</w:t>
      </w:r>
    </w:p>
    <w:p>
      <w:pPr>
        <w:rPr>
          <w:rFonts w:hint="eastAsia" w:ascii="仿宋_GB2312" w:hAnsi="仿宋" w:eastAsia="仿宋_GB2312" w:cs="仿宋"/>
          <w:sz w:val="28"/>
          <w:szCs w:val="28"/>
        </w:rPr>
      </w:pPr>
      <w:bookmarkStart w:id="12" w:name="_Toc13394692"/>
      <w:r>
        <w:rPr>
          <w:rFonts w:hint="eastAsia" w:ascii="仿宋_GB2312" w:hAnsi="仿宋" w:eastAsia="仿宋_GB2312" w:cs="仿宋"/>
          <w:sz w:val="28"/>
          <w:szCs w:val="28"/>
        </w:rPr>
        <w:t>（四）技术文件和报告</w:t>
      </w:r>
    </w:p>
    <w:p>
      <w:pPr>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1．在签定合同后1个星期内，乙方应提交施工组织设计等资料给甲方审核，确认后方可进场施工。</w:t>
      </w:r>
    </w:p>
    <w:p>
      <w:pPr>
        <w:spacing w:line="48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2．工程竣工验收合格后需提交：试验报告、竣工验收报告及其它相关资料。</w:t>
      </w:r>
    </w:p>
    <w:bookmarkEnd w:id="12"/>
    <w:p>
      <w:pPr>
        <w:snapToGrid w:val="0"/>
        <w:spacing w:line="480" w:lineRule="exact"/>
        <w:rPr>
          <w:rFonts w:hint="eastAsia" w:ascii="仿宋_GB2312" w:hAnsi="仿宋" w:eastAsia="仿宋_GB2312" w:cs="仿宋"/>
          <w:sz w:val="28"/>
          <w:szCs w:val="28"/>
        </w:rPr>
      </w:pPr>
      <w:r>
        <w:rPr>
          <w:rFonts w:hint="eastAsia" w:ascii="仿宋_GB2312" w:hAnsi="仿宋" w:eastAsia="仿宋_GB2312" w:cs="仿宋"/>
          <w:b/>
          <w:sz w:val="28"/>
          <w:szCs w:val="28"/>
        </w:rPr>
        <w:t>六、现场勘察：</w:t>
      </w:r>
      <w:r>
        <w:rPr>
          <w:rFonts w:hint="eastAsia" w:ascii="仿宋_GB2312" w:hAnsi="仿宋" w:eastAsia="仿宋_GB2312" w:cs="仿宋"/>
          <w:sz w:val="28"/>
          <w:szCs w:val="28"/>
        </w:rPr>
        <w:t>投标人必须在规定的时间内至项目所在地进行现场勘察，否则将不能通过资格审查；勘察期间，所发生的勘察费用和安全责任由投标人自行承担。</w:t>
      </w:r>
    </w:p>
    <w:p>
      <w:pPr>
        <w:snapToGrid w:val="0"/>
        <w:spacing w:line="480" w:lineRule="exact"/>
        <w:rPr>
          <w:rFonts w:hint="eastAsia" w:ascii="仿宋_GB2312" w:eastAsia="仿宋_GB2312"/>
          <w:sz w:val="28"/>
          <w:szCs w:val="28"/>
        </w:rPr>
      </w:pPr>
      <w:r>
        <w:rPr>
          <w:rFonts w:hint="eastAsia" w:ascii="仿宋_GB2312" w:eastAsia="仿宋_GB2312"/>
          <w:b/>
          <w:sz w:val="28"/>
          <w:szCs w:val="28"/>
        </w:rPr>
        <w:t>七、工期：</w:t>
      </w:r>
      <w:r>
        <w:rPr>
          <w:rFonts w:hint="eastAsia" w:ascii="仿宋_GB2312" w:eastAsia="仿宋_GB2312"/>
          <w:sz w:val="28"/>
          <w:szCs w:val="28"/>
        </w:rPr>
        <w:t>为1天，具体开工、竣工日期以签订合同为准。本工程为交钥匙工程，如延误工期，迟一天罚款2000元，以此类推，上不封顶。</w:t>
      </w:r>
    </w:p>
    <w:p>
      <w:pPr>
        <w:snapToGrid w:val="0"/>
        <w:spacing w:line="480" w:lineRule="exact"/>
        <w:rPr>
          <w:rFonts w:hint="eastAsia" w:ascii="仿宋_GB2312" w:eastAsia="仿宋_GB2312"/>
          <w:sz w:val="28"/>
          <w:szCs w:val="28"/>
        </w:rPr>
      </w:pPr>
      <w:r>
        <w:rPr>
          <w:rFonts w:hint="eastAsia" w:ascii="仿宋_GB2312" w:eastAsia="仿宋_GB2312"/>
          <w:b/>
          <w:sz w:val="28"/>
          <w:szCs w:val="28"/>
        </w:rPr>
        <w:t>八、付款方式是：</w:t>
      </w:r>
      <w:r>
        <w:rPr>
          <w:rFonts w:hint="eastAsia" w:ascii="仿宋_GB2312" w:eastAsia="仿宋_GB2312"/>
          <w:sz w:val="28"/>
          <w:szCs w:val="28"/>
        </w:rPr>
        <w:t>合同签订后预付款30%，工程结束并经验收合格审计后付至90%，余款10%分两次支付，其中5%在竣工一年后无质量和服务问题一次性支付（不计利息），最后5%在竣工三年后无质量和服务问题一次性支付（不计利息）。</w:t>
      </w:r>
    </w:p>
    <w:p>
      <w:pPr>
        <w:pStyle w:val="3"/>
        <w:snapToGrid w:val="0"/>
        <w:spacing w:line="480" w:lineRule="exact"/>
        <w:outlineLvl w:val="2"/>
        <w:rPr>
          <w:rFonts w:hint="eastAsia" w:ascii="仿宋_GB2312" w:eastAsia="仿宋_GB2312"/>
          <w:szCs w:val="28"/>
        </w:rPr>
      </w:pPr>
      <w:r>
        <w:rPr>
          <w:rFonts w:hint="eastAsia" w:ascii="仿宋_GB2312" w:eastAsia="仿宋_GB2312"/>
          <w:b/>
          <w:kern w:val="2"/>
          <w:szCs w:val="28"/>
        </w:rPr>
        <w:t>九、质保期：</w:t>
      </w:r>
      <w:r>
        <w:rPr>
          <w:rFonts w:hint="eastAsia" w:ascii="仿宋_GB2312" w:eastAsia="仿宋_GB2312"/>
          <w:kern w:val="2"/>
          <w:szCs w:val="28"/>
        </w:rPr>
        <w:t>三年。按照安全工器具检验周期要求，承担三年内学院南北区10kV变电所安全工器具及绝缘垫定期检验工作，提供CMA检测报告。并</w:t>
      </w:r>
      <w:r>
        <w:rPr>
          <w:rFonts w:hint="eastAsia" w:ascii="仿宋_GB2312" w:hAnsi="宋体" w:eastAsia="仿宋_GB2312" w:cs="宋体"/>
          <w:szCs w:val="28"/>
        </w:rPr>
        <w:t>对学院所属变电所内出现的应急情况提供相应技术指导及支持，承担质保期间发生的一切费用及因安装质量的欠缺给甲方造成的一切损失（因甲方原因造成的除外）</w:t>
      </w:r>
      <w:r>
        <w:rPr>
          <w:rFonts w:hint="eastAsia" w:ascii="仿宋_GB2312" w:eastAsia="仿宋_GB2312"/>
          <w:szCs w:val="28"/>
        </w:rPr>
        <w:t>。</w:t>
      </w:r>
    </w:p>
    <w:p>
      <w:pPr>
        <w:pStyle w:val="3"/>
        <w:snapToGrid w:val="0"/>
        <w:spacing w:line="480" w:lineRule="exact"/>
        <w:outlineLvl w:val="2"/>
        <w:rPr>
          <w:rFonts w:hint="eastAsia" w:ascii="仿宋_GB2312" w:eastAsia="仿宋_GB2312"/>
          <w:szCs w:val="28"/>
        </w:rPr>
      </w:pPr>
    </w:p>
    <w:p>
      <w:pPr>
        <w:pStyle w:val="3"/>
        <w:snapToGrid w:val="0"/>
        <w:spacing w:line="480" w:lineRule="exact"/>
        <w:outlineLvl w:val="2"/>
        <w:rPr>
          <w:rFonts w:hint="eastAsia" w:ascii="仿宋_GB2312" w:eastAsia="仿宋_GB2312"/>
          <w:szCs w:val="28"/>
        </w:rPr>
      </w:pPr>
    </w:p>
    <w:p>
      <w:pPr>
        <w:pStyle w:val="3"/>
        <w:snapToGrid w:val="0"/>
        <w:spacing w:line="480" w:lineRule="exact"/>
        <w:ind w:firstLine="5600" w:firstLineChars="2000"/>
        <w:outlineLvl w:val="2"/>
        <w:rPr>
          <w:rFonts w:hint="eastAsia" w:ascii="仿宋_GB2312" w:eastAsia="仿宋_GB2312"/>
          <w:szCs w:val="28"/>
        </w:rPr>
      </w:pP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C184D"/>
    <w:multiLevelType w:val="multilevel"/>
    <w:tmpl w:val="773C184D"/>
    <w:lvl w:ilvl="0" w:tentative="0">
      <w:start w:val="1"/>
      <w:numFmt w:val="japaneseCounting"/>
      <w:lvlText w:val="%1、"/>
      <w:lvlJc w:val="left"/>
      <w:pPr>
        <w:ind w:left="570" w:hanging="57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dlNzEwZTBkOGMyZmIyZmJlYzViZDAxY2QzODc5ZDkifQ=="/>
  </w:docVars>
  <w:rsids>
    <w:rsidRoot w:val="00117935"/>
    <w:rsid w:val="000469D2"/>
    <w:rsid w:val="00081592"/>
    <w:rsid w:val="00104123"/>
    <w:rsid w:val="001071EB"/>
    <w:rsid w:val="00117935"/>
    <w:rsid w:val="00212283"/>
    <w:rsid w:val="002B6D4C"/>
    <w:rsid w:val="003C12FB"/>
    <w:rsid w:val="004E369D"/>
    <w:rsid w:val="00636BAC"/>
    <w:rsid w:val="007B06FB"/>
    <w:rsid w:val="008860C4"/>
    <w:rsid w:val="0098322A"/>
    <w:rsid w:val="009C6CC0"/>
    <w:rsid w:val="00B239A3"/>
    <w:rsid w:val="00B5171D"/>
    <w:rsid w:val="00B932E7"/>
    <w:rsid w:val="00BD3978"/>
    <w:rsid w:val="00BD4D34"/>
    <w:rsid w:val="00D23A80"/>
    <w:rsid w:val="00D57706"/>
    <w:rsid w:val="00DB3D7A"/>
    <w:rsid w:val="00E01827"/>
    <w:rsid w:val="00E169C5"/>
    <w:rsid w:val="00E33B25"/>
    <w:rsid w:val="00EF7625"/>
    <w:rsid w:val="00F5287E"/>
    <w:rsid w:val="00F56C11"/>
    <w:rsid w:val="0FEA1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lock Text"/>
    <w:basedOn w:val="1"/>
    <w:semiHidden/>
    <w:unhideWhenUsed/>
    <w:uiPriority w:val="99"/>
    <w:pPr>
      <w:spacing w:after="120"/>
      <w:ind w:left="1440" w:leftChars="700" w:right="1440" w:rightChars="700"/>
    </w:pPr>
  </w:style>
  <w:style w:type="paragraph" w:styleId="3">
    <w:name w:val="Body Text"/>
    <w:basedOn w:val="1"/>
    <w:link w:val="8"/>
    <w:qFormat/>
    <w:uiPriority w:val="0"/>
    <w:pPr>
      <w:widowControl/>
      <w:tabs>
        <w:tab w:val="left" w:pos="0"/>
        <w:tab w:val="left" w:pos="993"/>
        <w:tab w:val="left" w:pos="1134"/>
      </w:tabs>
      <w:spacing w:line="500" w:lineRule="exact"/>
    </w:pPr>
    <w:rPr>
      <w:rFonts w:ascii="宋体"/>
      <w:kern w:val="0"/>
      <w:sz w:val="2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 字符"/>
    <w:basedOn w:val="7"/>
    <w:link w:val="3"/>
    <w:uiPriority w:val="0"/>
    <w:rPr>
      <w:rFonts w:ascii="宋体" w:hAnsi="Times New Roman" w:eastAsia="宋体" w:cs="Times New Roman"/>
      <w:kern w:val="0"/>
      <w:sz w:val="28"/>
      <w:szCs w:val="24"/>
    </w:rPr>
  </w:style>
  <w:style w:type="paragraph" w:styleId="9">
    <w:name w:val="List Paragraph"/>
    <w:basedOn w:val="1"/>
    <w:qFormat/>
    <w:uiPriority w:val="34"/>
    <w:pPr>
      <w:ind w:firstLine="420" w:firstLineChars="200"/>
    </w:pPr>
  </w:style>
  <w:style w:type="character" w:customStyle="1" w:styleId="10">
    <w:name w:val="页眉 字符"/>
    <w:basedOn w:val="7"/>
    <w:link w:val="5"/>
    <w:uiPriority w:val="99"/>
    <w:rPr>
      <w:rFonts w:ascii="Times New Roman" w:hAnsi="Times New Roman" w:eastAsia="宋体" w:cs="Times New Roman"/>
      <w:sz w:val="18"/>
      <w:szCs w:val="18"/>
    </w:rPr>
  </w:style>
  <w:style w:type="character" w:customStyle="1" w:styleId="11">
    <w:name w:val="页脚 字符"/>
    <w:basedOn w:val="7"/>
    <w:link w:val="4"/>
    <w:uiPriority w:val="99"/>
    <w:rPr>
      <w:rFonts w:ascii="Times New Roman" w:hAnsi="Times New Roman" w:eastAsia="宋体" w:cs="Times New Roman"/>
      <w:sz w:val="18"/>
      <w:szCs w:val="18"/>
    </w:rPr>
  </w:style>
  <w:style w:type="paragraph" w:customStyle="1" w:styleId="12">
    <w:name w:val="一级目录"/>
    <w:next w:val="1"/>
    <w:qFormat/>
    <w:uiPriority w:val="0"/>
    <w:pPr>
      <w:spacing w:afterLines="100"/>
      <w:jc w:val="center"/>
      <w:outlineLvl w:val="0"/>
    </w:pPr>
    <w:rPr>
      <w:rFonts w:ascii="黑体" w:hAnsi="Times New Roman" w:eastAsia="黑体" w:cs="Times New Roman"/>
      <w:b/>
      <w:kern w:val="2"/>
      <w:sz w:val="44"/>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6106</Words>
  <Characters>6491</Characters>
  <Lines>52</Lines>
  <Paragraphs>14</Paragraphs>
  <TotalTime>354</TotalTime>
  <ScaleCrop>false</ScaleCrop>
  <LinksUpToDate>false</LinksUpToDate>
  <CharactersWithSpaces>6503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2023-05-31T07:40:00Z</dcterms:created>
  <dc:creator>Lenovo</dc:creator>
  <cp:lastModifiedBy>锐意进取</cp:lastModifiedBy>
  <dcterms:modified xsi:type="dcterms:W3CDTF">2023-06-23T10:04:10Z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B055222B2A44451983CC1E41A684472B_12</vt:lpwstr>
  </property>
</Properties>
</file>